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北京市西城区审计局行政强制和其他行政权力清单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（2025年5月）</w:t>
      </w:r>
    </w:p>
    <w:tbl>
      <w:tblPr>
        <w:tblStyle w:val="6"/>
        <w:tblW w:w="14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1087"/>
        <w:gridCol w:w="1240"/>
        <w:gridCol w:w="1751"/>
        <w:gridCol w:w="739"/>
        <w:gridCol w:w="1036"/>
        <w:gridCol w:w="6160"/>
        <w:gridCol w:w="1250"/>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0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业务指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导部门</w:t>
            </w:r>
          </w:p>
        </w:tc>
        <w:tc>
          <w:tcPr>
            <w:tcW w:w="12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职权编码</w:t>
            </w:r>
          </w:p>
        </w:tc>
        <w:tc>
          <w:tcPr>
            <w:tcW w:w="17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职权名称</w:t>
            </w:r>
          </w:p>
        </w:tc>
        <w:tc>
          <w:tcPr>
            <w:tcW w:w="73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职权类型</w:t>
            </w:r>
          </w:p>
        </w:tc>
        <w:tc>
          <w:tcPr>
            <w:tcW w:w="103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设定依据名称</w:t>
            </w:r>
          </w:p>
        </w:tc>
        <w:tc>
          <w:tcPr>
            <w:tcW w:w="616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设定依据具体内容</w:t>
            </w:r>
          </w:p>
        </w:tc>
        <w:tc>
          <w:tcPr>
            <w:tcW w:w="12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设定依据</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发布号令</w:t>
            </w:r>
          </w:p>
        </w:tc>
        <w:tc>
          <w:tcPr>
            <w:tcW w:w="87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8" w:hRule="atLeast"/>
          <w:jc w:val="center"/>
        </w:trPr>
        <w:tc>
          <w:tcPr>
            <w:tcW w:w="787"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87"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北京市审计局</w:t>
            </w:r>
          </w:p>
        </w:tc>
        <w:tc>
          <w:tcPr>
            <w:tcW w:w="1240" w:type="dxa"/>
            <w:vMerge w:val="restart"/>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D</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00100</w:t>
            </w:r>
          </w:p>
        </w:tc>
        <w:tc>
          <w:tcPr>
            <w:tcW w:w="1751"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对被审计单位有关资料和违反国家规定取得的资产进行查封</w:t>
            </w:r>
          </w:p>
        </w:tc>
        <w:tc>
          <w:tcPr>
            <w:tcW w:w="739" w:type="dxa"/>
            <w:vMerge w:val="restar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rPr>
              <w:t>行政强制</w:t>
            </w: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61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第三十八条 审计机关进行审计时，被审计单位不得转移、隐匿、篡改、毁弃财务、会计资料以及与财政收支、财务收支有关的业务、管理等资料，不得转移、隐匿、故意毁损所持有的违反国家规定取得的资产。</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审计机关采取前两款规定的措施不得影响被审计单位合法的业务活动和生产经营活动。</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876"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8" w:hRule="atLeast"/>
          <w:jc w:val="center"/>
        </w:trPr>
        <w:tc>
          <w:tcPr>
            <w:tcW w:w="787" w:type="dxa"/>
            <w:vMerge w:val="continue"/>
            <w:tcBorders>
              <w:tl2br w:val="nil"/>
              <w:tr2bl w:val="nil"/>
            </w:tcBorders>
            <w:vAlign w:val="center"/>
          </w:tcPr>
          <w:p>
            <w:pPr>
              <w:keepNext w:val="0"/>
              <w:keepLines w:val="0"/>
              <w:widowControl/>
              <w:suppressLineNumbers w:val="0"/>
              <w:jc w:val="left"/>
              <w:textAlignment w:val="center"/>
            </w:pPr>
          </w:p>
        </w:tc>
        <w:tc>
          <w:tcPr>
            <w:tcW w:w="1087" w:type="dxa"/>
            <w:vMerge w:val="continue"/>
            <w:tcBorders>
              <w:tl2br w:val="nil"/>
              <w:tr2bl w:val="nil"/>
            </w:tcBorders>
            <w:vAlign w:val="center"/>
          </w:tcPr>
          <w:p>
            <w:pPr>
              <w:keepNext w:val="0"/>
              <w:keepLines w:val="0"/>
              <w:widowControl/>
              <w:suppressLineNumbers w:val="0"/>
              <w:jc w:val="left"/>
              <w:textAlignment w:val="center"/>
            </w:pPr>
          </w:p>
        </w:tc>
        <w:tc>
          <w:tcPr>
            <w:tcW w:w="1240" w:type="dxa"/>
            <w:vMerge w:val="continue"/>
            <w:tcBorders>
              <w:tl2br w:val="nil"/>
              <w:tr2bl w:val="nil"/>
            </w:tcBorders>
            <w:vAlign w:val="center"/>
          </w:tcPr>
          <w:p>
            <w:pPr>
              <w:keepNext w:val="0"/>
              <w:keepLines w:val="0"/>
              <w:widowControl/>
              <w:suppressLineNumbers w:val="0"/>
              <w:jc w:val="left"/>
              <w:textAlignment w:val="center"/>
            </w:pPr>
          </w:p>
        </w:tc>
        <w:tc>
          <w:tcPr>
            <w:tcW w:w="1751" w:type="dxa"/>
            <w:vMerge w:val="continue"/>
            <w:tcBorders>
              <w:tl2br w:val="nil"/>
              <w:tr2bl w:val="nil"/>
            </w:tcBorders>
            <w:vAlign w:val="center"/>
          </w:tcPr>
          <w:p>
            <w:pPr>
              <w:keepNext w:val="0"/>
              <w:keepLines w:val="0"/>
              <w:widowControl/>
              <w:suppressLineNumbers w:val="0"/>
              <w:jc w:val="left"/>
              <w:textAlignment w:val="center"/>
            </w:pPr>
          </w:p>
        </w:tc>
        <w:tc>
          <w:tcPr>
            <w:tcW w:w="739" w:type="dxa"/>
            <w:vMerge w:val="continue"/>
            <w:tcBorders>
              <w:tl2br w:val="nil"/>
              <w:tr2bl w:val="nil"/>
            </w:tcBorders>
            <w:vAlign w:val="center"/>
          </w:tcPr>
          <w:p>
            <w:pPr>
              <w:keepNext w:val="0"/>
              <w:keepLines w:val="0"/>
              <w:widowControl/>
              <w:suppressLineNumbers w:val="0"/>
              <w:jc w:val="left"/>
              <w:textAlignment w:val="center"/>
            </w:pP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中华人民共和国行政处罚法</w:t>
            </w:r>
          </w:p>
        </w:tc>
        <w:tc>
          <w:tcPr>
            <w:tcW w:w="616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中华人民共和国主席令第七〇号</w:t>
            </w:r>
          </w:p>
        </w:tc>
        <w:tc>
          <w:tcPr>
            <w:tcW w:w="876" w:type="dxa"/>
            <w:vMerge w:val="continue"/>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9"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0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北京市审计局</w:t>
            </w:r>
          </w:p>
        </w:tc>
        <w:tc>
          <w:tcPr>
            <w:tcW w:w="12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w:t>
            </w:r>
            <w:r>
              <w:rPr>
                <w:rFonts w:hint="eastAsia" w:ascii="仿宋_GB2312" w:hAnsi="仿宋_GB2312" w:eastAsia="仿宋_GB2312" w:cs="仿宋_GB2312"/>
                <w:i w:val="0"/>
                <w:color w:val="000000"/>
                <w:sz w:val="24"/>
                <w:szCs w:val="24"/>
                <w:u w:val="none"/>
                <w:lang w:val="en-US" w:eastAsia="zh-CN"/>
              </w:rPr>
              <w:t>500</w:t>
            </w:r>
          </w:p>
        </w:tc>
        <w:tc>
          <w:tcPr>
            <w:tcW w:w="1751"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核查社会审计机构出具的审计报告</w:t>
            </w:r>
          </w:p>
        </w:tc>
        <w:tc>
          <w:tcPr>
            <w:tcW w:w="73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61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第三十三条 社会审计机构审计的单位依法属于被审计单位的，审计机关按照国务院的规定，有权对该社会审计机构出具的相关审计报告进行核查。</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87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9" w:hRule="atLeast"/>
          <w:jc w:val="center"/>
        </w:trPr>
        <w:tc>
          <w:tcPr>
            <w:tcW w:w="7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0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北京市审计局</w:t>
            </w:r>
          </w:p>
        </w:tc>
        <w:tc>
          <w:tcPr>
            <w:tcW w:w="12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w:t>
            </w:r>
            <w:r>
              <w:rPr>
                <w:rFonts w:hint="eastAsia" w:ascii="仿宋_GB2312" w:hAnsi="仿宋_GB2312" w:eastAsia="仿宋_GB2312" w:cs="仿宋_GB2312"/>
                <w:i w:val="0"/>
                <w:color w:val="000000"/>
                <w:sz w:val="24"/>
                <w:szCs w:val="24"/>
                <w:u w:val="none"/>
                <w:lang w:val="en-US" w:eastAsia="zh-CN"/>
              </w:rPr>
              <w:t>600</w:t>
            </w:r>
          </w:p>
        </w:tc>
        <w:tc>
          <w:tcPr>
            <w:tcW w:w="1751"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对管理使用公共资金、国有资产、国有资源的地方、部门和单位的审计监督</w:t>
            </w:r>
          </w:p>
        </w:tc>
        <w:tc>
          <w:tcPr>
            <w:tcW w:w="73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103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61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第二十四条　审计机关对国有资源、国有资产，进行审计监督。</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审计机关对政府部门管理的和其他单位受政府委托管理的社会保险基金、全国社会保障基金、社会捐赠资金以及其他公共资金的财务收支，进行审计监督。</w:t>
            </w:r>
          </w:p>
        </w:tc>
        <w:tc>
          <w:tcPr>
            <w:tcW w:w="125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876"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市级、区级</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sz w:val="10"/>
          <w:szCs w:val="10"/>
          <w:lang w:val="en-US" w:eastAsia="zh-CN"/>
        </w:rPr>
      </w:pPr>
    </w:p>
    <w:sectPr>
      <w:pgSz w:w="16838" w:h="11906" w:orient="landscape"/>
      <w:pgMar w:top="1587" w:right="2098" w:bottom="1474" w:left="1984" w:header="851" w:footer="992"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248C"/>
    <w:rsid w:val="07FD3FCF"/>
    <w:rsid w:val="0C361E40"/>
    <w:rsid w:val="15AFB493"/>
    <w:rsid w:val="1B8DB31D"/>
    <w:rsid w:val="1B8F122B"/>
    <w:rsid w:val="1BFFBF58"/>
    <w:rsid w:val="1EF3BCD7"/>
    <w:rsid w:val="1FBA95F5"/>
    <w:rsid w:val="2CEF4D52"/>
    <w:rsid w:val="2DE6ADC7"/>
    <w:rsid w:val="2E2E5ED6"/>
    <w:rsid w:val="2F9E228D"/>
    <w:rsid w:val="2FBCDF45"/>
    <w:rsid w:val="337D0350"/>
    <w:rsid w:val="34EF404C"/>
    <w:rsid w:val="359EEEB9"/>
    <w:rsid w:val="35FCCD89"/>
    <w:rsid w:val="371E66B5"/>
    <w:rsid w:val="37FEA7A2"/>
    <w:rsid w:val="39BB2B67"/>
    <w:rsid w:val="3B6F8334"/>
    <w:rsid w:val="3BBF2211"/>
    <w:rsid w:val="3C5DCFED"/>
    <w:rsid w:val="3CFBDCE2"/>
    <w:rsid w:val="3DBBE431"/>
    <w:rsid w:val="3DBF89E1"/>
    <w:rsid w:val="3DD15954"/>
    <w:rsid w:val="3DF76F50"/>
    <w:rsid w:val="3DFF9EB3"/>
    <w:rsid w:val="3E4FCA20"/>
    <w:rsid w:val="3EE6EDA9"/>
    <w:rsid w:val="3F7FD593"/>
    <w:rsid w:val="407203F2"/>
    <w:rsid w:val="4DFF35F6"/>
    <w:rsid w:val="4FCD8422"/>
    <w:rsid w:val="4FE46AE7"/>
    <w:rsid w:val="4FFD4687"/>
    <w:rsid w:val="55EFBFD4"/>
    <w:rsid w:val="57EF67E0"/>
    <w:rsid w:val="5A6B0AE3"/>
    <w:rsid w:val="5B371E2C"/>
    <w:rsid w:val="5B5EBF40"/>
    <w:rsid w:val="5DE4E686"/>
    <w:rsid w:val="5DF26D14"/>
    <w:rsid w:val="5EB64B43"/>
    <w:rsid w:val="5FDF16BC"/>
    <w:rsid w:val="5FFED018"/>
    <w:rsid w:val="64FB794F"/>
    <w:rsid w:val="66B7E757"/>
    <w:rsid w:val="66EFF11D"/>
    <w:rsid w:val="67FE3683"/>
    <w:rsid w:val="67FF5361"/>
    <w:rsid w:val="686F5FFC"/>
    <w:rsid w:val="695F4EB4"/>
    <w:rsid w:val="69DF7656"/>
    <w:rsid w:val="6AFBE02C"/>
    <w:rsid w:val="6B7F428D"/>
    <w:rsid w:val="6B7F8A97"/>
    <w:rsid w:val="6DAE11F4"/>
    <w:rsid w:val="6E7FB1AA"/>
    <w:rsid w:val="6EAC9787"/>
    <w:rsid w:val="6EE00203"/>
    <w:rsid w:val="6F363554"/>
    <w:rsid w:val="6F7D394F"/>
    <w:rsid w:val="6F971674"/>
    <w:rsid w:val="6F9EDA92"/>
    <w:rsid w:val="6FF6B0F2"/>
    <w:rsid w:val="6FFD77A0"/>
    <w:rsid w:val="709D10E3"/>
    <w:rsid w:val="714AB099"/>
    <w:rsid w:val="71BB27B1"/>
    <w:rsid w:val="73EDB3C1"/>
    <w:rsid w:val="768F3155"/>
    <w:rsid w:val="76FE62FC"/>
    <w:rsid w:val="773DB605"/>
    <w:rsid w:val="77F7C774"/>
    <w:rsid w:val="77FF6DA5"/>
    <w:rsid w:val="77FFE064"/>
    <w:rsid w:val="782F337E"/>
    <w:rsid w:val="785FD729"/>
    <w:rsid w:val="793909FA"/>
    <w:rsid w:val="793F94A7"/>
    <w:rsid w:val="79BF6E0B"/>
    <w:rsid w:val="79D7B2CF"/>
    <w:rsid w:val="7AE3D4CC"/>
    <w:rsid w:val="7AFFFFD6"/>
    <w:rsid w:val="7BEF1096"/>
    <w:rsid w:val="7BF75EF8"/>
    <w:rsid w:val="7BF76F4E"/>
    <w:rsid w:val="7BFE4031"/>
    <w:rsid w:val="7BFE96F2"/>
    <w:rsid w:val="7CBDA897"/>
    <w:rsid w:val="7CF77937"/>
    <w:rsid w:val="7D635EB7"/>
    <w:rsid w:val="7DF7676A"/>
    <w:rsid w:val="7DFC02C2"/>
    <w:rsid w:val="7DFFF706"/>
    <w:rsid w:val="7E97113B"/>
    <w:rsid w:val="7EBB5F56"/>
    <w:rsid w:val="7EF88342"/>
    <w:rsid w:val="7F77ABAF"/>
    <w:rsid w:val="7F7EF59A"/>
    <w:rsid w:val="7FDF283A"/>
    <w:rsid w:val="7FDF58F0"/>
    <w:rsid w:val="7FE227B2"/>
    <w:rsid w:val="7FF72A84"/>
    <w:rsid w:val="7FF72B44"/>
    <w:rsid w:val="7FFB0DA6"/>
    <w:rsid w:val="7FFD066C"/>
    <w:rsid w:val="7FFFD932"/>
    <w:rsid w:val="8237FA32"/>
    <w:rsid w:val="83FFFAF1"/>
    <w:rsid w:val="97F731AA"/>
    <w:rsid w:val="9ABF9D8C"/>
    <w:rsid w:val="9CFFA004"/>
    <w:rsid w:val="9FBE9712"/>
    <w:rsid w:val="A7FF1F92"/>
    <w:rsid w:val="A9FEA493"/>
    <w:rsid w:val="AF5FF592"/>
    <w:rsid w:val="AF6558A4"/>
    <w:rsid w:val="AFA103CA"/>
    <w:rsid w:val="AFBCF222"/>
    <w:rsid w:val="AFFA6901"/>
    <w:rsid w:val="B6D37903"/>
    <w:rsid w:val="B8BFC2C2"/>
    <w:rsid w:val="BBAF158E"/>
    <w:rsid w:val="BBCFE8FA"/>
    <w:rsid w:val="BC7FD5E0"/>
    <w:rsid w:val="BCB81344"/>
    <w:rsid w:val="BD377371"/>
    <w:rsid w:val="BDFE9090"/>
    <w:rsid w:val="BE97318E"/>
    <w:rsid w:val="BF5DD065"/>
    <w:rsid w:val="BFFB752F"/>
    <w:rsid w:val="CAE754CC"/>
    <w:rsid w:val="CEFF31DD"/>
    <w:rsid w:val="CF9D7615"/>
    <w:rsid w:val="D6EFCBCC"/>
    <w:rsid w:val="D7DBD756"/>
    <w:rsid w:val="D97E7334"/>
    <w:rsid w:val="DAFF499E"/>
    <w:rsid w:val="DB0F8DDA"/>
    <w:rsid w:val="DBFF3EC5"/>
    <w:rsid w:val="DC8D27DF"/>
    <w:rsid w:val="DDEF7786"/>
    <w:rsid w:val="DEF7FA53"/>
    <w:rsid w:val="DEFF98BF"/>
    <w:rsid w:val="DFCBCE92"/>
    <w:rsid w:val="E35E7FB0"/>
    <w:rsid w:val="E66BAF5D"/>
    <w:rsid w:val="E6BFA064"/>
    <w:rsid w:val="E7FFE013"/>
    <w:rsid w:val="E8E9BCF8"/>
    <w:rsid w:val="EAFB6F5B"/>
    <w:rsid w:val="EBEFE953"/>
    <w:rsid w:val="ECBF329B"/>
    <w:rsid w:val="EDFBB18B"/>
    <w:rsid w:val="EF7AB9B8"/>
    <w:rsid w:val="EFA253A2"/>
    <w:rsid w:val="EFBFF96A"/>
    <w:rsid w:val="F0F318B3"/>
    <w:rsid w:val="F16F1FB8"/>
    <w:rsid w:val="F2BCFF05"/>
    <w:rsid w:val="F2FF7195"/>
    <w:rsid w:val="F3FDFF07"/>
    <w:rsid w:val="F5BBAFBD"/>
    <w:rsid w:val="F6FFD9C6"/>
    <w:rsid w:val="F7990577"/>
    <w:rsid w:val="F7CF14B7"/>
    <w:rsid w:val="F7D1AE22"/>
    <w:rsid w:val="F93F8130"/>
    <w:rsid w:val="F9CFD415"/>
    <w:rsid w:val="F9F5465C"/>
    <w:rsid w:val="FAEDC364"/>
    <w:rsid w:val="FAFBD783"/>
    <w:rsid w:val="FB1F2D0E"/>
    <w:rsid w:val="FB6FFC29"/>
    <w:rsid w:val="FBF10B67"/>
    <w:rsid w:val="FBF75A60"/>
    <w:rsid w:val="FBFF478C"/>
    <w:rsid w:val="FC7B5D81"/>
    <w:rsid w:val="FCED76DF"/>
    <w:rsid w:val="FCF62743"/>
    <w:rsid w:val="FCF7643F"/>
    <w:rsid w:val="FD9EF1AD"/>
    <w:rsid w:val="FDB79ED3"/>
    <w:rsid w:val="FDBDB299"/>
    <w:rsid w:val="FDDEBA3D"/>
    <w:rsid w:val="FDEDDEA6"/>
    <w:rsid w:val="FDEE3ECA"/>
    <w:rsid w:val="FDFFA18B"/>
    <w:rsid w:val="FEDE01B4"/>
    <w:rsid w:val="FEDF1C4F"/>
    <w:rsid w:val="FEF2E299"/>
    <w:rsid w:val="FEFA1B1D"/>
    <w:rsid w:val="FEFB9BCA"/>
    <w:rsid w:val="FEFE0F58"/>
    <w:rsid w:val="FEFFDF16"/>
    <w:rsid w:val="FF733B7C"/>
    <w:rsid w:val="FF7B9DAE"/>
    <w:rsid w:val="FF7F92EE"/>
    <w:rsid w:val="FF99A5B7"/>
    <w:rsid w:val="FF9BD543"/>
    <w:rsid w:val="FF9F81B7"/>
    <w:rsid w:val="FFAE59D4"/>
    <w:rsid w:val="FFBF248C"/>
    <w:rsid w:val="FFD6C297"/>
    <w:rsid w:val="FFDBD945"/>
    <w:rsid w:val="FFEE820B"/>
    <w:rsid w:val="FFEF20E7"/>
    <w:rsid w:val="FFF18C81"/>
    <w:rsid w:val="FFFD3CA1"/>
    <w:rsid w:val="FFFFF8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next w:val="1"/>
    <w:qFormat/>
    <w:uiPriority w:val="0"/>
    <w:pPr>
      <w:snapToGrid w:val="0"/>
      <w:jc w:val="left"/>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2022-05-12T06:43:00Z</dcterms:created>
  <dc:creator>duanjz</dc:creator>
  <cp:lastModifiedBy>张文</cp:lastModifiedBy>
  <cp:lastPrinted>2025-05-23T17:04:45Z</cp:lastPrinted>
  <dcterms:modified xsi:type="dcterms:W3CDTF">2025-06-03T09:11:53Z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3BF3EDC73A6756808FA50D68AD6F3E30</vt:lpwstr>
  </property>
</Properties>
</file>