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行政处罚救济途径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（1）行政复议。公民、法人或者其他组织认为北京市西城区人民政府</w:t>
      </w: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大栅栏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街道办事处作出的具体行政行为侵犯其合法权益的，有权自知道该具体行政行为之日起六十日内，向北京市西城区人民政府提出行政复议申请。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（2）行政诉讼。公民、法人或者其他组织认为北京市西城区人民政府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大栅栏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街道办事处作出的具体行政行为侵犯其合法权益的，有权自知道或者应当知道该行政行为作出之日起六个月内，向西城区人民法院提出行政诉讼。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（3）行政赔偿。公民、法人或者其他组织，自其知道或者应当知道北京市西城区人民政府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大栅栏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街道办事处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及其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人员行使职权时的行为侵犯其人身权、财产权之日起两年内，有权向街道办事处申请行政赔偿，也可以在申请行政复议或者提起行政诉讼时一并提出赔偿请求，赔偿请求提出的时效，适用行政复议法、行政诉讼法有关规定。</w:t>
      </w:r>
    </w:p>
    <w:p>
      <w:pPr>
        <w:ind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</w:docVars>
  <w:rsids>
    <w:rsidRoot w:val="00000000"/>
    <w:rsid w:val="12B74F0F"/>
    <w:rsid w:val="19D83035"/>
    <w:rsid w:val="1BF12377"/>
    <w:rsid w:val="3BA868A9"/>
    <w:rsid w:val="6B834363"/>
    <w:rsid w:val="6D182159"/>
    <w:rsid w:val="702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0</TotalTime>
  <ScaleCrop>false</ScaleCrop>
  <LinksUpToDate>false</LinksUpToDate>
  <CharactersWithSpaces>163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2022-03-25T03:33:00Z</dcterms:created>
  <dc:creator>dellw</dc:creator>
  <cp:lastModifiedBy>石萌</cp:lastModifiedBy>
  <dcterms:modified xsi:type="dcterms:W3CDTF">2025-06-09T01:27:05Z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84997E514FB445E2914E2F60DD94B3BD</vt:lpwstr>
  </property>
</Properties>
</file>