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E2E4">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北京金融街服务局2018年政府信息公开工作年度报告</w:t>
      </w:r>
    </w:p>
    <w:p w14:paraId="1484A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本报告根据《中华人民共和国政府信息公开条例》和《北京市政府信息公开规定》要求，由北京金融街服务局编制。</w:t>
      </w:r>
    </w:p>
    <w:p w14:paraId="19468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北京金融街服务局信息和政务公开2018年度重点工作情况、重点领域信息发布解读情况、存在的不足及2018年重点工作，以及主动公开、回应解读、依申请公开（含不予公开、收费及减免）、行政复议、行政诉讼、举报等政府信息公开相关数据。</w:t>
      </w:r>
    </w:p>
    <w:p w14:paraId="59416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本报告中所列数据的统计期限自2018年1月1日起，至2018年12月31日止。本报告的电子</w:t>
      </w:r>
      <w:r>
        <w:rPr>
          <w:rFonts w:hint="eastAsia" w:ascii="仿宋" w:hAnsi="仿宋" w:eastAsia="仿宋" w:cs="仿宋"/>
          <w:i w:val="0"/>
          <w:iCs w:val="0"/>
          <w:caps w:val="0"/>
          <w:color w:val="000000"/>
          <w:spacing w:val="-2"/>
          <w:sz w:val="32"/>
          <w:szCs w:val="32"/>
        </w:rPr>
        <w:t>版可在“北京西城”</w:t>
      </w:r>
      <w:r>
        <w:rPr>
          <w:rFonts w:hint="eastAsia" w:ascii="仿宋" w:hAnsi="仿宋" w:eastAsia="仿宋" w:cs="仿宋"/>
          <w:i w:val="0"/>
          <w:iCs w:val="0"/>
          <w:caps w:val="0"/>
          <w:color w:val="000000"/>
          <w:spacing w:val="0"/>
          <w:sz w:val="32"/>
          <w:szCs w:val="32"/>
        </w:rPr>
        <w:t>门户网站（http://www.bjxch.gov.cn）下载。如对报告有疑问，请与北京金融街服务局办公室联系（地址:北京市西城区金融大街甲九号六层；邮编：100033；</w:t>
      </w:r>
      <w:r>
        <w:rPr>
          <w:rFonts w:hint="eastAsia" w:ascii="仿宋" w:hAnsi="仿宋" w:eastAsia="仿宋" w:cs="仿宋"/>
          <w:i w:val="0"/>
          <w:iCs w:val="0"/>
          <w:caps w:val="0"/>
          <w:color w:val="000000"/>
          <w:spacing w:val="-12"/>
          <w:sz w:val="32"/>
          <w:szCs w:val="32"/>
        </w:rPr>
        <w:t>联系电话：010-66290670；电子邮箱：</w:t>
      </w:r>
      <w:r>
        <w:rPr>
          <w:rFonts w:hint="default" w:ascii="Times New Roman" w:hAnsi="Times New Roman" w:eastAsia="sans-serif" w:cs="Times New Roman"/>
          <w:i w:val="0"/>
          <w:iCs w:val="0"/>
          <w:caps w:val="0"/>
          <w:color w:val="000000"/>
          <w:spacing w:val="-2"/>
          <w:sz w:val="32"/>
          <w:szCs w:val="32"/>
        </w:rPr>
        <w:t>xchjrb@bjxch.gov.c</w:t>
      </w:r>
      <w:r>
        <w:rPr>
          <w:rFonts w:hint="default" w:ascii="Times New Roman" w:hAnsi="Times New Roman" w:eastAsia="sans-serif" w:cs="Times New Roman"/>
          <w:i w:val="0"/>
          <w:iCs w:val="0"/>
          <w:caps w:val="0"/>
          <w:color w:val="000000"/>
          <w:spacing w:val="-12"/>
          <w:sz w:val="32"/>
          <w:szCs w:val="32"/>
        </w:rPr>
        <w:t>n</w:t>
      </w:r>
      <w:r>
        <w:rPr>
          <w:rFonts w:hint="eastAsia" w:ascii="仿宋" w:hAnsi="仿宋" w:eastAsia="仿宋" w:cs="仿宋"/>
          <w:i w:val="0"/>
          <w:iCs w:val="0"/>
          <w:caps w:val="0"/>
          <w:color w:val="000000"/>
          <w:spacing w:val="-12"/>
          <w:sz w:val="32"/>
          <w:szCs w:val="32"/>
        </w:rPr>
        <w:t>）。</w:t>
      </w:r>
    </w:p>
    <w:p w14:paraId="5767E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14:paraId="45F2E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p>
    <w:p w14:paraId="37D25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2018年，在区公开办的正确指导下，我局深入学习贯彻党的十九大精神，以习近平新时代中国特色社会主义思想为指引，以习近平总书记两次视察北京重要讲话精神为根本遵循，深入贯彻市委第十二次党代会精神，落实京津冀协同发展国家战略和市委市政府重要决策部署，贯彻《关于全面推进政务公开工作的意见》、《&lt;关于全面推进政务公开工作的意见&gt;实施细则》和《2018年政务公开工作要点》要求，努力在信息公开、公众参与、重点工作等领域实现新突破，扎实推进信息和政务公开工作。</w:t>
      </w:r>
    </w:p>
    <w:p w14:paraId="5659E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一、年度重点工作情况</w:t>
      </w:r>
    </w:p>
    <w:p w14:paraId="094FA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（一）完善政务公开领导小组。</w:t>
      </w:r>
      <w:r>
        <w:rPr>
          <w:rFonts w:hint="eastAsia" w:ascii="仿宋" w:hAnsi="仿宋" w:eastAsia="仿宋" w:cs="仿宋"/>
          <w:i w:val="0"/>
          <w:iCs w:val="0"/>
          <w:caps w:val="0"/>
          <w:color w:val="000000"/>
          <w:spacing w:val="0"/>
          <w:sz w:val="32"/>
          <w:szCs w:val="32"/>
        </w:rPr>
        <w:t>由单位主要领导任组长，各分管领导任副组长，各处室、中心作为成员单位，全面做好政务公开相关工作。办公室具体负责政务公开落实工作，由一名同志兼职承担政务公开具体工作。</w:t>
      </w:r>
    </w:p>
    <w:p w14:paraId="414E7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（二）及时发布重大活动信息。</w:t>
      </w:r>
      <w:r>
        <w:rPr>
          <w:rFonts w:hint="eastAsia" w:ascii="仿宋" w:hAnsi="仿宋" w:eastAsia="仿宋" w:cs="仿宋"/>
          <w:i w:val="0"/>
          <w:iCs w:val="0"/>
          <w:caps w:val="0"/>
          <w:color w:val="000000"/>
          <w:spacing w:val="0"/>
          <w:sz w:val="32"/>
          <w:szCs w:val="32"/>
        </w:rPr>
        <w:t>严格按照政务信息公开流程，及时、准确发布区域金融业重大活动相关信息，如2018年金融街论坛、改革开放40周年重大活动、区领导走访金融机构等，使社会及时了解我区金融业重大活动开展情况以及相关活动成果。</w:t>
      </w:r>
    </w:p>
    <w:p w14:paraId="74DE3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（三）打造新媒体推进公开工作。</w:t>
      </w:r>
      <w:r>
        <w:rPr>
          <w:rFonts w:hint="eastAsia" w:ascii="仿宋" w:hAnsi="仿宋" w:eastAsia="仿宋" w:cs="仿宋"/>
          <w:i w:val="0"/>
          <w:iCs w:val="0"/>
          <w:caps w:val="0"/>
          <w:color w:val="000000"/>
          <w:spacing w:val="0"/>
          <w:sz w:val="32"/>
          <w:szCs w:val="32"/>
        </w:rPr>
        <w:t>设立“金融街微平台”微信公众号，定期发布区域动态信息、政务信息如政策办理指南等，通过这种受众乐于参与和便于参与的形式，实现宣传目的和宣传效果，促进业务工作开展，推进政务公开。</w:t>
      </w:r>
    </w:p>
    <w:p w14:paraId="36351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二、重点领域信息发布解读情况</w:t>
      </w:r>
    </w:p>
    <w:p w14:paraId="13E4A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按照区政府信息公开办工作部署及相关文件精神，结合我局工作实际，进一步修订完善信息公开工作制度，保证信息公开工作的规范化、制度化运行。坚持以公开为常态、不公开为例外，扎实推进行政决策公开、执行公开、管理公开、服务公开和结果公开。2018年，我局着重加强财政预算、业务动态、产业政策等方面的信息公开，共计公开16条，具体如下：</w:t>
      </w:r>
    </w:p>
    <w:p w14:paraId="22FCD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（一）积极推进财政资金信息公开。</w:t>
      </w:r>
      <w:r>
        <w:rPr>
          <w:rFonts w:hint="eastAsia" w:ascii="仿宋" w:hAnsi="仿宋" w:eastAsia="仿宋" w:cs="仿宋"/>
          <w:i w:val="0"/>
          <w:iCs w:val="0"/>
          <w:caps w:val="0"/>
          <w:color w:val="000000"/>
          <w:spacing w:val="0"/>
          <w:sz w:val="32"/>
          <w:szCs w:val="32"/>
        </w:rPr>
        <w:t>我局积极公开2018年部门预算编制说明、部门预算收支总表、部门预算财政拨款支出预算表、部门预算“三公”经费预算安排情况表、“三公”经费财政拨款预算安排情况说明等，方便公众查询。</w:t>
      </w:r>
    </w:p>
    <w:p w14:paraId="0B273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（二）大力拓展政务公开内容。</w:t>
      </w:r>
      <w:r>
        <w:rPr>
          <w:rFonts w:hint="eastAsia" w:ascii="仿宋" w:hAnsi="仿宋" w:eastAsia="仿宋" w:cs="仿宋"/>
          <w:i w:val="0"/>
          <w:iCs w:val="0"/>
          <w:caps w:val="0"/>
          <w:color w:val="000000"/>
          <w:spacing w:val="0"/>
          <w:sz w:val="32"/>
          <w:szCs w:val="32"/>
        </w:rPr>
        <w:t>我局进一步充实重点领域工作的信息公开，如新三板发展态势、产业促进政策兑现、金融街论坛开展情况、金融业相关发展信息等，及时向社会公众公布我局相关工作开展情况。</w:t>
      </w:r>
    </w:p>
    <w:p w14:paraId="38193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此外，我局还通过制作金融安全宣传手册等形式扩大主动公开信息范围，积极回应相关政策解读，扎实推进政府信息公开工作。</w:t>
      </w:r>
    </w:p>
    <w:p w14:paraId="6F314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三、信息公开数据</w:t>
      </w:r>
    </w:p>
    <w:p w14:paraId="4B05F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rPr>
        <w:t>（一）主动公开情况</w:t>
      </w:r>
    </w:p>
    <w:p w14:paraId="46233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单位2018年度共主动公开政府信息109条，其中全文电子化率达100%。在主动公开的信息中，机构职能类信息8条，发布新班子成员简介等相关信息；法规文件类信息3条，公布促进金融产业发展等相关政策；规划计划类信息14条，发布本单位半年及全年工作总结和计划，方便了解工作进展情况；业务动态类信息84条，及时反映本单位业务工作开展情况。</w:t>
      </w:r>
    </w:p>
    <w:p w14:paraId="38450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通过不同渠道和方式公开政府信息的情况，包括政府公报公开政府信息数109条；政务微信公开政府信息数54条。</w:t>
      </w:r>
    </w:p>
    <w:p w14:paraId="5E5E1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（二）回应解读情况</w:t>
      </w:r>
    </w:p>
    <w:p w14:paraId="140D2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回应公众关注热点数50余次，主要内容包括新三板发展态势、产业促进政策兑现、金融街论坛开展情况、金融业相关发展信息等。政策解读稿件发布数1条；其他方式回应事件数约50次。</w:t>
      </w:r>
    </w:p>
    <w:p w14:paraId="47AEC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（三）依申请公开情况</w:t>
      </w:r>
    </w:p>
    <w:p w14:paraId="2F1EF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1.申请情况</w:t>
      </w:r>
    </w:p>
    <w:p w14:paraId="56024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全市申请总数为3件。申请方式中，通过网络提交申请2件，占总数的66.7%；以信函形式申请1件，占总数的33.3%。</w:t>
      </w:r>
    </w:p>
    <w:p w14:paraId="13587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2.答复情况</w:t>
      </w:r>
    </w:p>
    <w:p w14:paraId="7973F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全年3件申请共涉及申请事项3项，内容包括“申请公开阿布扎比签约内容”、“双随机检查清单”以及“2018年工作计划”，3项申请事项全部按期答复，其中不同意公开答复数1条。</w:t>
      </w:r>
    </w:p>
    <w:p w14:paraId="1BC09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已答复的3项申请中：申请内容明确，可以答复是否公开的共2项（占总数的66.7%）。其中：</w:t>
      </w:r>
    </w:p>
    <w:p w14:paraId="2D102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“属于已主动公开范围”1项，占总数的33.3%；</w:t>
      </w:r>
    </w:p>
    <w:p w14:paraId="10A5E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3.依申请公开政府信息收费情况</w:t>
      </w:r>
    </w:p>
    <w:p w14:paraId="32E21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按照市财政局、市发展改革委《关于清理规范一批行政事业性收费有关政策的通知》（京财综﹝2018﹞569号）要求，自2017年4月1日起，本市已停止收取依申请公开政府信息费用。我局2018年无依申请公开政府信息收费发生。</w:t>
      </w:r>
    </w:p>
    <w:p w14:paraId="67E0B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（四）行政复议、诉讼及举报情况</w:t>
      </w:r>
    </w:p>
    <w:p w14:paraId="2D26B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1.行政复议</w:t>
      </w:r>
    </w:p>
    <w:p w14:paraId="185EC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我局共受理政府信息公开行政复议案件0件。</w:t>
      </w:r>
    </w:p>
    <w:p w14:paraId="39315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2.行政诉讼</w:t>
      </w:r>
    </w:p>
    <w:p w14:paraId="1B2DC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西城区法院共审理与我局政府信息公开有关的行政诉讼案件0件，行政败诉0件。</w:t>
      </w:r>
    </w:p>
    <w:p w14:paraId="09AB5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3.举报</w:t>
      </w:r>
    </w:p>
    <w:p w14:paraId="64639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我局共接到与政府信息公开有关举报0件。</w:t>
      </w:r>
    </w:p>
    <w:p w14:paraId="790E2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（五）机构建设及保障培训情况</w:t>
      </w:r>
    </w:p>
    <w:p w14:paraId="16220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市政府信息公开工作专门机构数为0，设置政府信息公开查阅点数1；从事政府信息公开工作人员1名，其中，专职人员数0；兼职人员数1。政府信息公开专项经费0。我局召开政府信息公开工作会议2次，举办培训班3次，接受培训人员数20人。</w:t>
      </w:r>
    </w:p>
    <w:p w14:paraId="168C0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四、存在的不足及2019年重点工作</w:t>
      </w:r>
    </w:p>
    <w:p w14:paraId="20059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（一）存在的不足</w:t>
      </w:r>
    </w:p>
    <w:p w14:paraId="0224C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对政务公开相关规定及要求的学习掌握与实际应用存在着一定差距。</w:t>
      </w:r>
    </w:p>
    <w:p w14:paraId="69541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依申请工作人员专业能力有待提高，尤其是对涉及金融稳定类的依申请信息办理水平有待提高。</w:t>
      </w:r>
    </w:p>
    <w:p w14:paraId="072A4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干部对依申请工作的重视程度不够，单位开展针对依申请工作相关的培训不够。</w:t>
      </w:r>
    </w:p>
    <w:p w14:paraId="15832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（二）2019年重点工作</w:t>
      </w:r>
    </w:p>
    <w:p w14:paraId="7A944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持续加强对政务公开工作的学习、培训，准确掌握对政务公开相关规定及要求，并结合单位实际认真落实政务公开各项工作。</w:t>
      </w:r>
    </w:p>
    <w:p w14:paraId="60C11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持续提高对政务公开工作的认识，继续把它作为落实全面从严治党主体责任建设、依法行政的一项重要措施，不断提高工作透明度、规范行政行为。</w:t>
      </w:r>
    </w:p>
    <w:p w14:paraId="163AA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不断加强政务公开工作的检查督办，尤其加强对信息公开专栏、微信公众号等平台的政务公开工作的管理。</w:t>
      </w:r>
    </w:p>
    <w:p w14:paraId="2EC79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14:paraId="4E5CD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14:paraId="4AEA1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14:paraId="10F0B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附表：</w:t>
      </w:r>
    </w:p>
    <w:tbl>
      <w:tblPr>
        <w:tblStyle w:val="3"/>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5"/>
        <w:gridCol w:w="540"/>
        <w:gridCol w:w="810"/>
      </w:tblGrid>
      <w:tr w14:paraId="198A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color="auto" w:fill="auto"/>
            <w:noWrap/>
            <w:tcMar>
              <w:left w:w="108" w:type="dxa"/>
              <w:right w:w="108" w:type="dxa"/>
            </w:tcMar>
            <w:vAlign w:val="center"/>
          </w:tcPr>
          <w:p w14:paraId="1F809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rPr>
              <w:t>北京金融街服务局</w:t>
            </w:r>
          </w:p>
          <w:p w14:paraId="35B15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政府信息公开情况统计表</w:t>
            </w:r>
          </w:p>
        </w:tc>
      </w:tr>
      <w:tr w14:paraId="7BB4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color="auto" w:fill="auto"/>
            <w:noWrap/>
            <w:tcMar>
              <w:left w:w="108" w:type="dxa"/>
              <w:right w:w="108" w:type="dxa"/>
            </w:tcMar>
            <w:vAlign w:val="center"/>
          </w:tcPr>
          <w:p w14:paraId="497AE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rPr>
              <w:t>（2018年度）</w:t>
            </w:r>
          </w:p>
        </w:tc>
      </w:tr>
      <w:tr w14:paraId="77D4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25D76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统 计 指 标</w:t>
            </w:r>
          </w:p>
        </w:tc>
        <w:tc>
          <w:tcPr>
            <w:tcW w:w="5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0A85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单位</w:t>
            </w:r>
          </w:p>
        </w:tc>
        <w:tc>
          <w:tcPr>
            <w:tcW w:w="8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0D62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统计数</w:t>
            </w:r>
          </w:p>
        </w:tc>
      </w:tr>
      <w:tr w14:paraId="6DAC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43E4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一、主动公开情况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930663E">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1DCBBA9">
            <w:pPr>
              <w:keepNext w:val="0"/>
              <w:keepLines w:val="0"/>
              <w:widowControl/>
              <w:suppressLineNumbers w:val="0"/>
              <w:jc w:val="left"/>
              <w:rPr>
                <w:sz w:val="18"/>
                <w:szCs w:val="18"/>
              </w:rPr>
            </w:pPr>
          </w:p>
        </w:tc>
      </w:tr>
      <w:tr w14:paraId="7B42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593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（一）主动公开政府信息数</w:t>
            </w:r>
            <w:r>
              <w:rPr>
                <w:rFonts w:hint="eastAsia" w:ascii="仿宋" w:hAnsi="仿宋" w:eastAsia="仿宋" w:cs="仿宋"/>
                <w:sz w:val="24"/>
                <w:szCs w:val="24"/>
              </w:rPr>
              <w:br w:type="textWrapping"/>
            </w:r>
            <w:r>
              <w:rPr>
                <w:rFonts w:hint="eastAsia" w:ascii="仿宋" w:hAnsi="仿宋" w:eastAsia="仿宋" w:cs="仿宋"/>
                <w:sz w:val="24"/>
                <w:szCs w:val="24"/>
              </w:rPr>
              <w:t>       （不同渠道和方式公开相同信息计1条）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256B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4729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109</w:t>
            </w:r>
          </w:p>
        </w:tc>
      </w:tr>
      <w:tr w14:paraId="5450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E209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其中：主动公开规范性文件数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BD7C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2C3B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109</w:t>
            </w:r>
          </w:p>
        </w:tc>
      </w:tr>
      <w:tr w14:paraId="43B1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color="auto" w:fill="auto"/>
            <w:noWrap/>
            <w:tcMar>
              <w:left w:w="108" w:type="dxa"/>
              <w:right w:w="108" w:type="dxa"/>
            </w:tcMar>
            <w:vAlign w:val="center"/>
          </w:tcPr>
          <w:p w14:paraId="1A7A6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制发规范性文件总数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246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3EA8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0193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930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（二）重点领域公开政府信息数</w:t>
            </w:r>
            <w:r>
              <w:rPr>
                <w:rFonts w:hint="eastAsia" w:ascii="仿宋" w:hAnsi="仿宋" w:eastAsia="仿宋" w:cs="仿宋"/>
                <w:sz w:val="24"/>
                <w:szCs w:val="24"/>
              </w:rPr>
              <w:br w:type="textWrapping"/>
            </w:r>
            <w:r>
              <w:rPr>
                <w:rFonts w:hint="eastAsia" w:ascii="仿宋" w:hAnsi="仿宋" w:eastAsia="仿宋" w:cs="仿宋"/>
                <w:sz w:val="24"/>
                <w:szCs w:val="24"/>
              </w:rPr>
              <w:t>       （不同渠道和方式公开相同信息计1条）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CB0C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29F6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05B7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0CE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rPr>
              <w:t>        其中：主动公开财政预算决算、</w:t>
            </w:r>
            <w:bookmarkStart w:id="0" w:name="_GoBack"/>
            <w:bookmarkEnd w:id="0"/>
            <w:r>
              <w:rPr>
                <w:rFonts w:hint="eastAsia" w:ascii="仿宋" w:hAnsi="仿宋" w:eastAsia="仿宋" w:cs="仿宋"/>
                <w:sz w:val="24"/>
                <w:szCs w:val="24"/>
                <w:lang w:eastAsia="zh-CN"/>
              </w:rPr>
              <w:t>“三公”</w:t>
            </w:r>
            <w:r>
              <w:rPr>
                <w:rFonts w:hint="eastAsia" w:ascii="仿宋" w:hAnsi="仿宋" w:eastAsia="仿宋" w:cs="仿宋"/>
                <w:sz w:val="24"/>
                <w:szCs w:val="24"/>
              </w:rPr>
              <w:t>经费和行政经费信息数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97B4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5E7A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sz w:val="24"/>
                <w:szCs w:val="24"/>
              </w:rPr>
              <w:t>　3</w:t>
            </w:r>
          </w:p>
        </w:tc>
      </w:tr>
      <w:tr w14:paraId="7F8E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6B3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C206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0090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39CB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FBA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2405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83C9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0A65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7F0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9459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642E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58F6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B78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4C49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FBCB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69C3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CBC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252B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E2FE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76E8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32A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71BA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313B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08CD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FF9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12CD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4720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1696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A17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82FE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CE1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59A1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026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主动公开政府部门预算执行审计结果等信息数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8E3D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065D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106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0AA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D214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3DD7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67FC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CC8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主动公开市人民政府决定主动公开的其他信息数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B69C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A883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1AAF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54A7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（三）通过不同渠道和方式公开政府信息的情况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C403F3">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4B38718">
            <w:pPr>
              <w:keepNext w:val="0"/>
              <w:keepLines w:val="0"/>
              <w:widowControl/>
              <w:suppressLineNumbers w:val="0"/>
              <w:jc w:val="left"/>
              <w:rPr>
                <w:sz w:val="18"/>
                <w:szCs w:val="18"/>
              </w:rPr>
            </w:pPr>
          </w:p>
        </w:tc>
      </w:tr>
      <w:tr w14:paraId="222E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A9F1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1.政府公报公开政府信息数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E0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689E13D">
            <w:pPr>
              <w:keepNext w:val="0"/>
              <w:keepLines w:val="0"/>
              <w:widowControl/>
              <w:suppressLineNumbers w:val="0"/>
              <w:jc w:val="left"/>
              <w:rPr>
                <w:sz w:val="18"/>
                <w:szCs w:val="18"/>
              </w:rPr>
            </w:pPr>
          </w:p>
        </w:tc>
      </w:tr>
      <w:tr w14:paraId="6EB7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2B42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2.政府网站公开政府信息数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C897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9E0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109</w:t>
            </w:r>
          </w:p>
        </w:tc>
      </w:tr>
      <w:tr w14:paraId="4C79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4639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3.政务微博公开政府信息数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DE0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192359">
            <w:pPr>
              <w:keepNext w:val="0"/>
              <w:keepLines w:val="0"/>
              <w:widowControl/>
              <w:suppressLineNumbers w:val="0"/>
              <w:jc w:val="left"/>
              <w:rPr>
                <w:sz w:val="18"/>
                <w:szCs w:val="18"/>
              </w:rPr>
            </w:pPr>
          </w:p>
        </w:tc>
      </w:tr>
      <w:tr w14:paraId="01E0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6610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4.政务微信公开政府信息数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D1E3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DBD2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54</w:t>
            </w:r>
          </w:p>
        </w:tc>
      </w:tr>
      <w:tr w14:paraId="0D30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393B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5.其他方式公开政府信息数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5848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1FEDDAA">
            <w:pPr>
              <w:keepNext w:val="0"/>
              <w:keepLines w:val="0"/>
              <w:widowControl/>
              <w:suppressLineNumbers w:val="0"/>
              <w:jc w:val="left"/>
              <w:rPr>
                <w:sz w:val="18"/>
                <w:szCs w:val="18"/>
              </w:rPr>
            </w:pPr>
          </w:p>
        </w:tc>
      </w:tr>
      <w:tr w14:paraId="79CB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74E5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二、回应解读情况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FEEA69F">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E9F1F3">
            <w:pPr>
              <w:keepNext w:val="0"/>
              <w:keepLines w:val="0"/>
              <w:widowControl/>
              <w:suppressLineNumbers w:val="0"/>
              <w:jc w:val="left"/>
              <w:rPr>
                <w:sz w:val="18"/>
                <w:szCs w:val="18"/>
              </w:rPr>
            </w:pPr>
          </w:p>
        </w:tc>
      </w:tr>
      <w:tr w14:paraId="47C3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9CD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（一）回应公众关注热点或重大舆情数</w:t>
            </w:r>
            <w:r>
              <w:rPr>
                <w:rFonts w:hint="eastAsia" w:ascii="仿宋" w:hAnsi="仿宋" w:eastAsia="仿宋" w:cs="仿宋"/>
                <w:sz w:val="24"/>
                <w:szCs w:val="24"/>
              </w:rPr>
              <w:br w:type="textWrapping"/>
            </w:r>
            <w:r>
              <w:rPr>
                <w:rFonts w:hint="eastAsia" w:ascii="仿宋" w:hAnsi="仿宋" w:eastAsia="仿宋" w:cs="仿宋"/>
                <w:sz w:val="24"/>
                <w:szCs w:val="24"/>
              </w:rPr>
              <w:t>         （不同方式回应同一热点或舆情计1次）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9BD8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C077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7F5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5CA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（二）通过不同渠道和方式回应解读的情况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23961C">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D176084">
            <w:pPr>
              <w:keepNext w:val="0"/>
              <w:keepLines w:val="0"/>
              <w:widowControl/>
              <w:suppressLineNumbers w:val="0"/>
              <w:jc w:val="left"/>
              <w:rPr>
                <w:sz w:val="18"/>
                <w:szCs w:val="18"/>
              </w:rPr>
            </w:pPr>
          </w:p>
        </w:tc>
      </w:tr>
      <w:tr w14:paraId="25E6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3AE5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1.参加或举办新闻发布会总次数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3F97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CCE8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9E9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A8BB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其中：主要负责同志参加新闻发布会次数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E7A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57E9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1F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5446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6FE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6F4E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F0B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200C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其中：主要负责同志参加政府网站在线访谈次数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6743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2A05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7EB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B287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3.政策解读稿件发布数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1A34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篇</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C95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3036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17E2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4.微博微信回应事件数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0E6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272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275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21F6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5.其他方式回应事件数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34F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CDA2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50</w:t>
            </w:r>
          </w:p>
        </w:tc>
      </w:tr>
      <w:tr w14:paraId="5CE7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95E3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三、依申请公开情况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D7C9AE2">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70B2BD8">
            <w:pPr>
              <w:keepNext w:val="0"/>
              <w:keepLines w:val="0"/>
              <w:widowControl/>
              <w:suppressLineNumbers w:val="0"/>
              <w:jc w:val="left"/>
              <w:rPr>
                <w:sz w:val="18"/>
                <w:szCs w:val="18"/>
              </w:rPr>
            </w:pPr>
          </w:p>
        </w:tc>
      </w:tr>
      <w:tr w14:paraId="64FE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B074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（一）收到申请数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4A37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9C9C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0A95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65D7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1.当面申请数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9558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CA50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B16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7229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2.传真申请数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1CE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D8C7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1EC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78AA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3.网络申请数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0D14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F5F9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5FFF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353D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4.信函申请数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A8D6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BDB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16A3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B1F4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（二）申请办结数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129C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C69C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60"/>
              <w:jc w:val="left"/>
              <w:rPr>
                <w:rFonts w:hint="default" w:ascii="Times New Roman" w:hAnsi="Times New Roman" w:cs="Times New Roman"/>
                <w:sz w:val="21"/>
                <w:szCs w:val="21"/>
              </w:rPr>
            </w:pPr>
            <w:r>
              <w:rPr>
                <w:rFonts w:hint="eastAsia" w:ascii="仿宋" w:hAnsi="仿宋" w:eastAsia="仿宋" w:cs="仿宋"/>
                <w:sz w:val="24"/>
                <w:szCs w:val="24"/>
              </w:rPr>
              <w:t>3</w:t>
            </w:r>
          </w:p>
        </w:tc>
      </w:tr>
      <w:tr w14:paraId="261B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7D57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1.按时办结数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1ADE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E7E3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6F5F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A9FD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2.延期办结数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745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E6E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829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9453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（三）申请答复数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0A10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31F7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372F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4016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1.属于已主动公开范围数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D18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1280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0F2C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D0A7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F9B4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2F10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40B3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DA97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3.同意部分公开答复数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095E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BFDC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AEB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3A31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4.不同意公开答复数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640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5AAC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4074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BBFE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其中：涉及国家秘密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BFD6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A971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A3F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7B9C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涉及商业秘密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CC6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E1D9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32B3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689C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涉及个人隐私</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88B1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9BE5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468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07AB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rPr>
              <w:t>　　　　　　　　　　危及国家安全、公共安全、经济安全和社会稳定</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367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8363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31F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5C62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不是《条例》所指政府信息</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C191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7CA7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0F7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D266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法律法规规定的其他情形</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B5E5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ACBF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534F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92DAB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5.不属于本行政机关公开数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C27F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EE83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7A7E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7170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6.申请信息不存在数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89E1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9D31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FEC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C089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7.告知作出更改补充数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03C7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95AA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EC5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7EE2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8.告知通过其他途径办理数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65DA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A1C7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C8E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AFE0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四、行政复议数量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AF47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B8A8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  0</w:t>
            </w:r>
          </w:p>
        </w:tc>
      </w:tr>
      <w:tr w14:paraId="3B92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72F6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（一）维持具体行政行为数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FE8F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E5CE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02D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1A29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DED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FD61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1AE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86FD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（三）其他情形数（含未审结162件）</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2246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777F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54C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ECBC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五、行政诉讼数量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F9FA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17A7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5FEF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CCE3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  </w:t>
            </w:r>
            <w:r>
              <w:rPr>
                <w:rFonts w:hint="eastAsia" w:ascii="仿宋" w:hAnsi="仿宋" w:eastAsia="仿宋" w:cs="仿宋"/>
                <w:sz w:val="24"/>
                <w:szCs w:val="24"/>
              </w:rPr>
              <w:t>（一）一审案件数量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A20A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1800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2467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64FD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1．维持具体行政行为或者驳回原告诉讼请求数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47EB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F475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371A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F25F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DBE8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D4D9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53E2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CE0A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3．其他情形数（含未审结113件）</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B161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491F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6340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799E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（二）二审案件数量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5DD7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677D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4C9C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E1E0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六、举报投诉数量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AAB9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786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39C7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DCF4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七、依申请公开信息收取的费用</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B36D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万元</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66A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　0</w:t>
            </w:r>
          </w:p>
        </w:tc>
      </w:tr>
      <w:tr w14:paraId="5554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FA25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八、机构建设和保障经费情况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6113356">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B3824D1">
            <w:pPr>
              <w:keepNext w:val="0"/>
              <w:keepLines w:val="0"/>
              <w:widowControl/>
              <w:suppressLineNumbers w:val="0"/>
              <w:jc w:val="left"/>
              <w:rPr>
                <w:sz w:val="18"/>
                <w:szCs w:val="18"/>
              </w:rPr>
            </w:pPr>
          </w:p>
        </w:tc>
      </w:tr>
      <w:tr w14:paraId="10F3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622F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（一）政府信息公开工作专门机构数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D12D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个</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88BB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E7A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C4BA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（二）设置政府信息公开查阅点数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4754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个</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470D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7820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3C9A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（三）从事政府信息公开工作人员数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57E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CEEE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37E2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4D28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1.专职人员数（不包括政府公报及政府网站工作人员数）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73F6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684B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492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C224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2.兼职人员数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78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B9F8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49C3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E04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60" w:right="0" w:hanging="960"/>
              <w:jc w:val="left"/>
              <w:rPr>
                <w:rFonts w:hint="default" w:ascii="Times New Roman" w:hAnsi="Times New Roman" w:cs="Times New Roman"/>
                <w:sz w:val="21"/>
                <w:szCs w:val="21"/>
              </w:rPr>
            </w:pPr>
            <w:r>
              <w:rPr>
                <w:rFonts w:hint="eastAsia" w:ascii="仿宋" w:hAnsi="仿宋" w:eastAsia="仿宋" w:cs="仿宋"/>
                <w:sz w:val="24"/>
                <w:szCs w:val="24"/>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D21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万元</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58EE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BC2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6A3F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九、政府信息公开会议和培训情况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2AF1840">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D56ACBE">
            <w:pPr>
              <w:keepNext w:val="0"/>
              <w:keepLines w:val="0"/>
              <w:widowControl/>
              <w:suppressLineNumbers w:val="0"/>
              <w:jc w:val="left"/>
              <w:rPr>
                <w:sz w:val="18"/>
                <w:szCs w:val="18"/>
              </w:rPr>
            </w:pPr>
          </w:p>
        </w:tc>
      </w:tr>
      <w:tr w14:paraId="4B10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8AD8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（一）召开政府信息公开工作会议或专题会议数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D1D3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0B67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46A9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A19A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（二）举办各类培训班数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4E2D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EAD1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1EE1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5C17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（三）接受培训人员数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135E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3A91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20</w:t>
            </w:r>
          </w:p>
        </w:tc>
      </w:tr>
    </w:tbl>
    <w:p w14:paraId="2EC10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14:paraId="25023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14:paraId="1227B9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327C2"/>
    <w:rsid w:val="4B35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2461</Words>
  <Characters>2612</Characters>
  <Lines>0</Lines>
  <Paragraphs>0</Paragraphs>
  <TotalTime>0</TotalTime>
  <ScaleCrop>false</ScaleCrop>
  <LinksUpToDate>false</LinksUpToDate>
  <CharactersWithSpaces>2616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WPS_1642934737</cp:lastModifiedBy>
  <dcterms:modified xsi:type="dcterms:W3CDTF">2025-07-08T08:19:25Z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5FF98869910748A19780B3E2A593E8D8_13</vt:lpwstr>
  </property>
  <property fmtid="{D5CDD505-2E9C-101B-9397-08002B2CF9AE}" pid="4" name="KSOTemplateDocerSaveRecord">
    <vt:lpwstr>eyJoZGlkIjoiZWZhNmNmODJmMDY1OTJlMDkzODUzMGY3MWJiYjY3NWEiLCJ1c2VySWQiOiIxMzIxMjk3ODk1In0=</vt:lpwstr>
  </property>
</Properties>
</file>