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EF1728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图书</w:t>
            </w:r>
            <w:r w:rsidR="002A7DF0">
              <w:rPr>
                <w:rFonts w:ascii="宋体" w:hAnsi="宋体" w:hint="eastAsia"/>
                <w:szCs w:val="21"/>
              </w:rPr>
              <w:t>购置费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2A7DF0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1,</w:t>
            </w:r>
            <w:r w:rsidR="00F01B16"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00,000.00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王瑞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62237707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3.宣传活动类      4.其他一般类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3C30E5">
              <w:rPr>
                <w:rFonts w:ascii="Arial Unicode MS" w:eastAsia="Arial Unicode MS" w:hAnsi="Arial Unicode MS" w:cs="Arial Unicode MS" w:hint="eastAsia"/>
                <w:szCs w:val="21"/>
              </w:rPr>
              <w:t>√</w:t>
            </w:r>
            <w:bookmarkStart w:id="0" w:name="_GoBack"/>
            <w:bookmarkEnd w:id="0"/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A5737" w:rsidP="00CC60D1">
            <w:pPr>
              <w:rPr>
                <w:rFonts w:ascii="宋体" w:hAnsi="宋体"/>
                <w:szCs w:val="21"/>
              </w:rPr>
            </w:pPr>
            <w:r w:rsidRPr="00645583">
              <w:rPr>
                <w:rFonts w:ascii="宋体" w:hAnsi="宋体" w:cs="宋体" w:hint="eastAsia"/>
                <w:kern w:val="0"/>
                <w:szCs w:val="21"/>
              </w:rPr>
              <w:t>图书购置费达到1</w:t>
            </w:r>
            <w:r w:rsidR="00F01B16"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0万/</w:t>
            </w:r>
            <w:r>
              <w:rPr>
                <w:rFonts w:ascii="宋体" w:hAnsi="宋体" w:cs="宋体" w:hint="eastAsia"/>
                <w:kern w:val="0"/>
                <w:szCs w:val="21"/>
              </w:rPr>
              <w:t>年，</w:t>
            </w:r>
            <w:r w:rsidR="00016AA5">
              <w:rPr>
                <w:rFonts w:ascii="宋体" w:hAnsi="宋体" w:cs="宋体" w:hint="eastAsia"/>
                <w:kern w:val="0"/>
                <w:szCs w:val="21"/>
              </w:rPr>
              <w:t>保持15%以上的</w:t>
            </w:r>
            <w:r>
              <w:rPr>
                <w:rFonts w:ascii="宋体" w:hAnsi="宋体" w:cs="宋体" w:hint="eastAsia"/>
                <w:kern w:val="0"/>
                <w:szCs w:val="21"/>
              </w:rPr>
              <w:t>年增长率，可达到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文化部对</w:t>
            </w:r>
            <w:r>
              <w:rPr>
                <w:rFonts w:ascii="宋体" w:hAnsi="宋体" w:cs="宋体" w:hint="eastAsia"/>
                <w:kern w:val="0"/>
                <w:szCs w:val="21"/>
              </w:rPr>
              <w:t>全国地市级公共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图书馆</w:t>
            </w:r>
            <w:r>
              <w:rPr>
                <w:rFonts w:ascii="宋体" w:hAnsi="宋体" w:cs="宋体" w:hint="eastAsia"/>
                <w:kern w:val="0"/>
                <w:szCs w:val="21"/>
              </w:rPr>
              <w:t>一级馆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评估</w:t>
            </w:r>
            <w:r w:rsidR="00016AA5">
              <w:rPr>
                <w:rFonts w:ascii="宋体" w:hAnsi="宋体" w:cs="宋体" w:hint="eastAsia"/>
                <w:kern w:val="0"/>
                <w:szCs w:val="21"/>
              </w:rPr>
              <w:t>定级要求，并</w:t>
            </w:r>
            <w:r>
              <w:rPr>
                <w:rFonts w:ascii="宋体" w:hAnsi="宋体" w:cs="宋体" w:hint="eastAsia"/>
                <w:kern w:val="0"/>
                <w:szCs w:val="21"/>
              </w:rPr>
              <w:t>将更好地发挥西城区青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少儿图书馆</w:t>
            </w:r>
            <w:r w:rsidR="00016AA5">
              <w:rPr>
                <w:rFonts w:ascii="宋体" w:hAnsi="宋体" w:cs="宋体" w:hint="eastAsia"/>
                <w:kern w:val="0"/>
                <w:szCs w:val="21"/>
              </w:rPr>
              <w:t>在北京市公共图书馆服务体系中相应作用，</w:t>
            </w:r>
            <w:r w:rsidR="000E5139">
              <w:rPr>
                <w:rFonts w:ascii="宋体" w:hAnsi="宋体" w:cs="宋体" w:hint="eastAsia"/>
                <w:kern w:val="0"/>
                <w:szCs w:val="21"/>
              </w:rPr>
              <w:t>增</w:t>
            </w:r>
            <w:r>
              <w:rPr>
                <w:rFonts w:ascii="宋体" w:hAnsi="宋体" w:cs="宋体" w:hint="eastAsia"/>
                <w:kern w:val="0"/>
                <w:szCs w:val="21"/>
              </w:rPr>
              <w:t>强少儿图书馆特色馆藏建设</w:t>
            </w:r>
            <w:r w:rsidR="000E5139">
              <w:rPr>
                <w:rFonts w:ascii="宋体" w:hAnsi="宋体" w:cs="宋体" w:hint="eastAsia"/>
                <w:kern w:val="0"/>
                <w:szCs w:val="21"/>
              </w:rPr>
              <w:t>水平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0E5139">
              <w:rPr>
                <w:rFonts w:ascii="宋体" w:hAnsi="宋体" w:cs="宋体" w:hint="eastAsia"/>
                <w:kern w:val="0"/>
                <w:szCs w:val="21"/>
              </w:rPr>
              <w:t>提高</w:t>
            </w:r>
            <w:r w:rsidR="000126DE">
              <w:rPr>
                <w:rFonts w:ascii="宋体" w:hAnsi="宋体" w:cs="宋体" w:hint="eastAsia"/>
                <w:kern w:val="0"/>
                <w:szCs w:val="21"/>
              </w:rPr>
              <w:t>文献流通利用率，为本区</w:t>
            </w:r>
            <w:r w:rsidR="004B236C">
              <w:rPr>
                <w:rFonts w:ascii="宋体" w:hAnsi="宋体" w:cs="宋体" w:hint="eastAsia"/>
                <w:kern w:val="0"/>
                <w:szCs w:val="21"/>
              </w:rPr>
              <w:t>及</w:t>
            </w:r>
            <w:r>
              <w:rPr>
                <w:rFonts w:ascii="宋体" w:hAnsi="宋体" w:cs="宋体" w:hint="eastAsia"/>
                <w:kern w:val="0"/>
                <w:szCs w:val="21"/>
              </w:rPr>
              <w:t>全市公共图书馆</w:t>
            </w:r>
            <w:r w:rsidR="00CC60D1">
              <w:rPr>
                <w:rFonts w:ascii="宋体" w:hAnsi="宋体" w:cs="宋体" w:hint="eastAsia"/>
                <w:kern w:val="0"/>
                <w:szCs w:val="21"/>
              </w:rPr>
              <w:t>文献</w:t>
            </w:r>
            <w:r>
              <w:rPr>
                <w:rFonts w:ascii="宋体" w:hAnsi="宋体" w:cs="宋体" w:hint="eastAsia"/>
                <w:kern w:val="0"/>
                <w:szCs w:val="21"/>
              </w:rPr>
              <w:t>通借通还系</w:t>
            </w:r>
            <w:r w:rsidR="00CC60D1">
              <w:rPr>
                <w:rFonts w:ascii="宋体" w:hAnsi="宋体" w:cs="宋体" w:hint="eastAsia"/>
                <w:kern w:val="0"/>
                <w:szCs w:val="21"/>
              </w:rPr>
              <w:t>统</w:t>
            </w:r>
            <w:r w:rsidR="000126DE">
              <w:rPr>
                <w:rFonts w:ascii="宋体" w:hAnsi="宋体" w:cs="宋体" w:hint="eastAsia"/>
                <w:kern w:val="0"/>
                <w:szCs w:val="21"/>
              </w:rPr>
              <w:t>提供</w:t>
            </w:r>
            <w:r>
              <w:rPr>
                <w:rFonts w:ascii="宋体" w:hAnsi="宋体" w:cs="宋体" w:hint="eastAsia"/>
                <w:kern w:val="0"/>
                <w:szCs w:val="21"/>
              </w:rPr>
              <w:t>馆藏</w:t>
            </w:r>
            <w:r w:rsidR="000126DE">
              <w:rPr>
                <w:rFonts w:ascii="宋体" w:hAnsi="宋体" w:cs="宋体" w:hint="eastAsia"/>
                <w:kern w:val="0"/>
                <w:szCs w:val="21"/>
              </w:rPr>
              <w:t>支持</w:t>
            </w:r>
            <w:r>
              <w:rPr>
                <w:rFonts w:ascii="宋体" w:hAnsi="宋体" w:cs="宋体" w:hint="eastAsia"/>
                <w:kern w:val="0"/>
                <w:szCs w:val="21"/>
              </w:rPr>
              <w:t>，满足</w:t>
            </w:r>
            <w:r w:rsidR="004B236C">
              <w:rPr>
                <w:rFonts w:ascii="宋体" w:hAnsi="宋体" w:cs="宋体" w:hint="eastAsia"/>
                <w:kern w:val="0"/>
                <w:szCs w:val="21"/>
              </w:rPr>
              <w:t>市民</w:t>
            </w:r>
            <w:r>
              <w:rPr>
                <w:rFonts w:ascii="宋体" w:hAnsi="宋体" w:cs="宋体" w:hint="eastAsia"/>
                <w:kern w:val="0"/>
                <w:szCs w:val="21"/>
              </w:rPr>
              <w:t>文化教育、阅读欣赏，图书、期刊</w:t>
            </w:r>
            <w:r w:rsidR="003F1CBB">
              <w:rPr>
                <w:rFonts w:ascii="宋体" w:hAnsi="宋体" w:cs="宋体" w:hint="eastAsia"/>
                <w:kern w:val="0"/>
                <w:szCs w:val="21"/>
              </w:rPr>
              <w:t>报纸</w:t>
            </w:r>
            <w:r w:rsidR="004B236C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="003F1CBB">
              <w:rPr>
                <w:rFonts w:ascii="宋体" w:hAnsi="宋体" w:cs="宋体" w:hint="eastAsia"/>
                <w:kern w:val="0"/>
                <w:szCs w:val="21"/>
              </w:rPr>
              <w:t>电子图书、</w:t>
            </w:r>
            <w:r w:rsidR="004B236C">
              <w:rPr>
                <w:rFonts w:ascii="宋体" w:hAnsi="宋体" w:cs="宋体" w:hint="eastAsia"/>
                <w:kern w:val="0"/>
                <w:szCs w:val="21"/>
              </w:rPr>
              <w:t>音像制品</w:t>
            </w:r>
            <w:r>
              <w:rPr>
                <w:rFonts w:ascii="宋体" w:hAnsi="宋体" w:cs="宋体" w:hint="eastAsia"/>
                <w:kern w:val="0"/>
                <w:szCs w:val="21"/>
              </w:rPr>
              <w:t>等文献借阅服务的需求，提升</w:t>
            </w:r>
            <w:r w:rsidR="003F1CBB">
              <w:rPr>
                <w:rFonts w:ascii="宋体" w:hAnsi="宋体" w:cs="宋体" w:hint="eastAsia"/>
                <w:kern w:val="0"/>
                <w:szCs w:val="21"/>
              </w:rPr>
              <w:t>公共</w:t>
            </w:r>
            <w:r>
              <w:rPr>
                <w:rFonts w:ascii="宋体" w:hAnsi="宋体" w:cs="宋体" w:hint="eastAsia"/>
                <w:kern w:val="0"/>
                <w:szCs w:val="21"/>
              </w:rPr>
              <w:t>图书馆对市民</w:t>
            </w:r>
            <w:r w:rsidRPr="00645583">
              <w:rPr>
                <w:rFonts w:ascii="宋体" w:hAnsi="宋体" w:cs="宋体" w:hint="eastAsia"/>
                <w:kern w:val="0"/>
                <w:szCs w:val="21"/>
              </w:rPr>
              <w:t>文化宣传的公共效益。</w:t>
            </w: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2A7DF0" w:rsidP="003C15FF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全年采购图书不少于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3D506A">
              <w:rPr>
                <w:rFonts w:ascii="宋体" w:hAnsi="宋体" w:hint="eastAsia"/>
                <w:szCs w:val="21"/>
              </w:rPr>
              <w:t>000种</w:t>
            </w:r>
            <w:r>
              <w:rPr>
                <w:rFonts w:ascii="宋体" w:hAnsi="宋体" w:hint="eastAsia"/>
                <w:szCs w:val="21"/>
              </w:rPr>
              <w:t>3</w:t>
            </w:r>
            <w:r w:rsidRPr="003D506A">
              <w:rPr>
                <w:rFonts w:ascii="宋体" w:hAnsi="宋体" w:hint="eastAsia"/>
                <w:szCs w:val="21"/>
              </w:rPr>
              <w:t>0000</w:t>
            </w:r>
            <w:r>
              <w:rPr>
                <w:rFonts w:ascii="宋体" w:hAnsi="宋体" w:hint="eastAsia"/>
                <w:szCs w:val="21"/>
              </w:rPr>
              <w:t>册；期刊</w:t>
            </w:r>
            <w:r w:rsidRPr="003D506A">
              <w:rPr>
                <w:rFonts w:ascii="宋体" w:hAnsi="宋体" w:hint="eastAsia"/>
                <w:szCs w:val="21"/>
              </w:rPr>
              <w:t>报纸不少于1000份</w:t>
            </w:r>
            <w:r>
              <w:rPr>
                <w:rFonts w:ascii="宋体" w:hAnsi="宋体" w:hint="eastAsia"/>
                <w:szCs w:val="21"/>
              </w:rPr>
              <w:t>；音像资料不少于140件。</w:t>
            </w: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0970C1">
            <w:pPr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达到图书馆文献采访细则、文献采访条例要求。</w:t>
            </w: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383A49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1-2季度图书采购不低于50%,3-4季度完成剩余图书</w:t>
            </w:r>
            <w:r w:rsidR="00383A49">
              <w:rPr>
                <w:rFonts w:ascii="宋体" w:hAnsi="宋体" w:hint="eastAsia"/>
                <w:szCs w:val="21"/>
              </w:rPr>
              <w:t>、</w:t>
            </w:r>
            <w:r w:rsidRPr="003D506A">
              <w:rPr>
                <w:rFonts w:ascii="宋体" w:hAnsi="宋体" w:hint="eastAsia"/>
                <w:szCs w:val="21"/>
              </w:rPr>
              <w:t>期刊报纸</w:t>
            </w:r>
            <w:r w:rsidR="00383A49">
              <w:rPr>
                <w:rFonts w:ascii="宋体" w:hAnsi="宋体" w:hint="eastAsia"/>
                <w:szCs w:val="21"/>
              </w:rPr>
              <w:t>等文献</w:t>
            </w:r>
            <w:r w:rsidRPr="003D506A">
              <w:rPr>
                <w:rFonts w:ascii="宋体" w:hAnsi="宋体" w:hint="eastAsia"/>
                <w:szCs w:val="21"/>
              </w:rPr>
              <w:t>的</w:t>
            </w:r>
            <w:r w:rsidR="00383A49">
              <w:rPr>
                <w:rFonts w:ascii="宋体" w:hAnsi="宋体" w:hint="eastAsia"/>
                <w:szCs w:val="21"/>
              </w:rPr>
              <w:t>采购</w:t>
            </w:r>
            <w:r w:rsidRPr="003D506A">
              <w:rPr>
                <w:rFonts w:ascii="宋体" w:hAnsi="宋体" w:hint="eastAsia"/>
                <w:szCs w:val="21"/>
              </w:rPr>
              <w:t>工作。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ab/>
            </w: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92FD0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/>
                <w:szCs w:val="21"/>
              </w:rPr>
              <w:t>提</w:t>
            </w:r>
            <w:r>
              <w:rPr>
                <w:rFonts w:ascii="宋体" w:hAnsi="宋体"/>
                <w:szCs w:val="21"/>
              </w:rPr>
              <w:t>高公众对图书馆文化传播职能的认知度，发挥图书馆传播知识的作用，</w:t>
            </w:r>
            <w:r>
              <w:rPr>
                <w:rFonts w:ascii="宋体" w:hAnsi="宋体" w:hint="eastAsia"/>
                <w:szCs w:val="21"/>
              </w:rPr>
              <w:t>推广全民阅读，</w:t>
            </w:r>
            <w:r w:rsidRPr="003D506A">
              <w:rPr>
                <w:rFonts w:ascii="宋体" w:hAnsi="宋体"/>
                <w:szCs w:val="21"/>
              </w:rPr>
              <w:t>引</w:t>
            </w:r>
            <w:r>
              <w:rPr>
                <w:rFonts w:ascii="宋体" w:hAnsi="宋体" w:hint="eastAsia"/>
                <w:szCs w:val="21"/>
              </w:rPr>
              <w:t>导</w:t>
            </w:r>
            <w:r w:rsidRPr="003D506A">
              <w:rPr>
                <w:rFonts w:ascii="宋体" w:hAnsi="宋体"/>
                <w:szCs w:val="21"/>
              </w:rPr>
              <w:t>公众充分利用图书馆，读好书，用好书，普及</w:t>
            </w:r>
            <w:r w:rsidRPr="003D506A">
              <w:rPr>
                <w:rFonts w:ascii="宋体" w:hAnsi="宋体" w:hint="eastAsia"/>
                <w:szCs w:val="21"/>
              </w:rPr>
              <w:t>科学</w:t>
            </w:r>
            <w:r w:rsidRPr="003D506A">
              <w:rPr>
                <w:rFonts w:ascii="宋体" w:hAnsi="宋体"/>
                <w:szCs w:val="21"/>
              </w:rPr>
              <w:t>知识，不断提升文化</w:t>
            </w:r>
            <w:r>
              <w:rPr>
                <w:rFonts w:ascii="宋体" w:hAnsi="宋体" w:hint="eastAsia"/>
                <w:szCs w:val="21"/>
              </w:rPr>
              <w:t>信息</w:t>
            </w:r>
            <w:r w:rsidRPr="003D506A">
              <w:rPr>
                <w:rFonts w:ascii="宋体" w:hAnsi="宋体" w:hint="eastAsia"/>
                <w:szCs w:val="21"/>
              </w:rPr>
              <w:t>素养等。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51187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</w:t>
            </w:r>
            <w:r w:rsidR="00174B32">
              <w:rPr>
                <w:rFonts w:ascii="宋体" w:hAnsi="宋体" w:hint="eastAsia"/>
                <w:szCs w:val="21"/>
              </w:rPr>
              <w:t>采集</w:t>
            </w:r>
            <w:r>
              <w:rPr>
                <w:rFonts w:ascii="宋体" w:hAnsi="宋体" w:hint="eastAsia"/>
                <w:szCs w:val="21"/>
              </w:rPr>
              <w:t>购买适合青少年</w:t>
            </w:r>
            <w:r w:rsidR="00174B32">
              <w:rPr>
                <w:rFonts w:ascii="宋体" w:hAnsi="宋体" w:hint="eastAsia"/>
                <w:szCs w:val="21"/>
              </w:rPr>
              <w:t>儿童阅读</w:t>
            </w:r>
            <w:r>
              <w:rPr>
                <w:rFonts w:ascii="宋体" w:hAnsi="宋体" w:hint="eastAsia"/>
                <w:szCs w:val="21"/>
              </w:rPr>
              <w:t>的</w:t>
            </w:r>
            <w:r w:rsidRPr="003D506A">
              <w:rPr>
                <w:rFonts w:ascii="宋体" w:hAnsi="宋体"/>
                <w:szCs w:val="21"/>
              </w:rPr>
              <w:t>图书</w:t>
            </w:r>
            <w:r w:rsidR="00174B32">
              <w:rPr>
                <w:rFonts w:ascii="宋体" w:hAnsi="宋体" w:hint="eastAsia"/>
                <w:szCs w:val="21"/>
              </w:rPr>
              <w:t>文献</w:t>
            </w:r>
            <w:r w:rsidRPr="003D506A">
              <w:rPr>
                <w:rFonts w:ascii="宋体" w:hAnsi="宋体"/>
                <w:szCs w:val="21"/>
              </w:rPr>
              <w:t>，</w:t>
            </w:r>
            <w:r w:rsidR="0075084B">
              <w:rPr>
                <w:rFonts w:ascii="宋体" w:hAnsi="宋体" w:hint="eastAsia"/>
                <w:szCs w:val="21"/>
              </w:rPr>
              <w:t>推广</w:t>
            </w:r>
            <w:r w:rsidRPr="003D506A">
              <w:rPr>
                <w:rFonts w:ascii="宋体" w:hAnsi="宋体"/>
                <w:szCs w:val="21"/>
              </w:rPr>
              <w:t>全民阅读</w:t>
            </w:r>
            <w:r w:rsidR="0075084B">
              <w:rPr>
                <w:rFonts w:ascii="宋体" w:hAnsi="宋体" w:hint="eastAsia"/>
                <w:szCs w:val="21"/>
              </w:rPr>
              <w:t>理念</w:t>
            </w:r>
            <w:r w:rsidRPr="003D506A">
              <w:rPr>
                <w:rFonts w:ascii="宋体" w:hAnsi="宋体"/>
                <w:szCs w:val="21"/>
              </w:rPr>
              <w:t>，</w:t>
            </w:r>
            <w:r w:rsidRPr="003D506A">
              <w:rPr>
                <w:rFonts w:ascii="宋体" w:hAnsi="宋体" w:hint="eastAsia"/>
                <w:szCs w:val="21"/>
              </w:rPr>
              <w:t>发挥</w:t>
            </w:r>
            <w:r w:rsidR="0075084B">
              <w:rPr>
                <w:rFonts w:ascii="宋体" w:hAnsi="宋体" w:hint="eastAsia"/>
                <w:szCs w:val="21"/>
              </w:rPr>
              <w:t>公共</w:t>
            </w:r>
            <w:r w:rsidR="00174B32">
              <w:rPr>
                <w:rFonts w:ascii="宋体" w:hAnsi="宋体"/>
                <w:szCs w:val="21"/>
              </w:rPr>
              <w:t>图书馆</w:t>
            </w:r>
            <w:r>
              <w:rPr>
                <w:rFonts w:ascii="宋体" w:hAnsi="宋体" w:hint="eastAsia"/>
                <w:szCs w:val="21"/>
              </w:rPr>
              <w:t>文化</w:t>
            </w:r>
            <w:r w:rsidR="00B16915">
              <w:rPr>
                <w:rFonts w:ascii="宋体" w:hAnsi="宋体" w:hint="eastAsia"/>
                <w:szCs w:val="21"/>
              </w:rPr>
              <w:t>教育</w:t>
            </w:r>
            <w:r w:rsidR="00511870">
              <w:rPr>
                <w:rFonts w:ascii="宋体" w:hAnsi="宋体" w:hint="eastAsia"/>
                <w:szCs w:val="21"/>
              </w:rPr>
              <w:t>、文化宣传等方面</w:t>
            </w:r>
            <w:r w:rsidRPr="003D506A">
              <w:rPr>
                <w:rFonts w:ascii="宋体" w:hAnsi="宋体"/>
                <w:szCs w:val="21"/>
              </w:rPr>
              <w:t>作用</w:t>
            </w:r>
            <w:r w:rsidR="00263F5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564189" w:rsidRDefault="00BC5A6E" w:rsidP="005641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图书借阅流通量达到</w:t>
            </w:r>
            <w:r w:rsidR="00AA3A16">
              <w:rPr>
                <w:rFonts w:ascii="宋体" w:hAnsi="宋体" w:hint="eastAsia"/>
                <w:szCs w:val="21"/>
              </w:rPr>
              <w:t>20万册次/年</w:t>
            </w:r>
            <w:r w:rsidR="00824579">
              <w:rPr>
                <w:rFonts w:ascii="宋体" w:hAnsi="宋体" w:hint="eastAsia"/>
                <w:szCs w:val="21"/>
              </w:rPr>
              <w:t>以上</w:t>
            </w:r>
          </w:p>
          <w:p w:rsidR="008C4C38" w:rsidRPr="008A5A43" w:rsidRDefault="00263F56" w:rsidP="00263F5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馆藏建设</w:t>
            </w:r>
            <w:r w:rsidR="00564189">
              <w:rPr>
                <w:rFonts w:ascii="宋体" w:hAnsi="宋体" w:hint="eastAsia"/>
                <w:szCs w:val="21"/>
              </w:rPr>
              <w:t>读者</w:t>
            </w:r>
            <w:r w:rsidR="008C4C38" w:rsidRPr="003D506A">
              <w:rPr>
                <w:rFonts w:ascii="宋体" w:hAnsi="宋体" w:hint="eastAsia"/>
                <w:szCs w:val="21"/>
              </w:rPr>
              <w:t>满意度预估达到</w:t>
            </w:r>
            <w:r w:rsidR="008C4C38" w:rsidRPr="003D506A">
              <w:rPr>
                <w:rFonts w:ascii="宋体" w:hAnsi="宋体"/>
                <w:szCs w:val="21"/>
              </w:rPr>
              <w:t>8</w:t>
            </w:r>
            <w:r w:rsidR="008C4C38" w:rsidRPr="003D506A">
              <w:rPr>
                <w:rFonts w:ascii="宋体" w:hAnsi="宋体" w:hint="eastAsia"/>
                <w:szCs w:val="21"/>
              </w:rPr>
              <w:t>0%以上</w:t>
            </w: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33" w:rsidRDefault="00B81233" w:rsidP="00627F3C">
      <w:r>
        <w:separator/>
      </w:r>
    </w:p>
  </w:endnote>
  <w:endnote w:type="continuationSeparator" w:id="0">
    <w:p w:rsidR="00B81233" w:rsidRDefault="00B81233" w:rsidP="0062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33" w:rsidRDefault="00B81233" w:rsidP="00627F3C">
      <w:r>
        <w:separator/>
      </w:r>
    </w:p>
  </w:footnote>
  <w:footnote w:type="continuationSeparator" w:id="0">
    <w:p w:rsidR="00B81233" w:rsidRDefault="00B81233" w:rsidP="00627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28F"/>
    <w:rsid w:val="00004492"/>
    <w:rsid w:val="000126DE"/>
    <w:rsid w:val="00016AA5"/>
    <w:rsid w:val="00054440"/>
    <w:rsid w:val="0009269B"/>
    <w:rsid w:val="000970C1"/>
    <w:rsid w:val="000E5139"/>
    <w:rsid w:val="00174B32"/>
    <w:rsid w:val="001D528F"/>
    <w:rsid w:val="001D5908"/>
    <w:rsid w:val="001E3BD8"/>
    <w:rsid w:val="00242148"/>
    <w:rsid w:val="00263F56"/>
    <w:rsid w:val="00267196"/>
    <w:rsid w:val="002A7DF0"/>
    <w:rsid w:val="002C631E"/>
    <w:rsid w:val="00306D26"/>
    <w:rsid w:val="00346F85"/>
    <w:rsid w:val="00382173"/>
    <w:rsid w:val="00383A49"/>
    <w:rsid w:val="003A5737"/>
    <w:rsid w:val="003B70A2"/>
    <w:rsid w:val="003C15FF"/>
    <w:rsid w:val="003C2264"/>
    <w:rsid w:val="003C30E5"/>
    <w:rsid w:val="003F1CBB"/>
    <w:rsid w:val="004531F8"/>
    <w:rsid w:val="004B236C"/>
    <w:rsid w:val="00502945"/>
    <w:rsid w:val="00506832"/>
    <w:rsid w:val="00511870"/>
    <w:rsid w:val="0052054F"/>
    <w:rsid w:val="00564189"/>
    <w:rsid w:val="005936E5"/>
    <w:rsid w:val="00627F3C"/>
    <w:rsid w:val="00631AB2"/>
    <w:rsid w:val="00646386"/>
    <w:rsid w:val="0066668C"/>
    <w:rsid w:val="006667B9"/>
    <w:rsid w:val="00673781"/>
    <w:rsid w:val="00690127"/>
    <w:rsid w:val="0075084B"/>
    <w:rsid w:val="007A1B16"/>
    <w:rsid w:val="007C658A"/>
    <w:rsid w:val="00824579"/>
    <w:rsid w:val="00892FD0"/>
    <w:rsid w:val="008A5A43"/>
    <w:rsid w:val="008C4C38"/>
    <w:rsid w:val="008E1863"/>
    <w:rsid w:val="008F6C85"/>
    <w:rsid w:val="008F748F"/>
    <w:rsid w:val="0093766E"/>
    <w:rsid w:val="0094687B"/>
    <w:rsid w:val="00964DD6"/>
    <w:rsid w:val="00995F09"/>
    <w:rsid w:val="00A300D3"/>
    <w:rsid w:val="00AA3A16"/>
    <w:rsid w:val="00AC13AC"/>
    <w:rsid w:val="00AD4BAC"/>
    <w:rsid w:val="00B16915"/>
    <w:rsid w:val="00B770E7"/>
    <w:rsid w:val="00B81233"/>
    <w:rsid w:val="00BC5A6E"/>
    <w:rsid w:val="00BF6AD7"/>
    <w:rsid w:val="00C22285"/>
    <w:rsid w:val="00C527ED"/>
    <w:rsid w:val="00C614AB"/>
    <w:rsid w:val="00C87339"/>
    <w:rsid w:val="00CC60D1"/>
    <w:rsid w:val="00CF2E7C"/>
    <w:rsid w:val="00D23129"/>
    <w:rsid w:val="00DD25E7"/>
    <w:rsid w:val="00E16A1B"/>
    <w:rsid w:val="00E3663D"/>
    <w:rsid w:val="00EB4017"/>
    <w:rsid w:val="00EF1728"/>
    <w:rsid w:val="00F01B16"/>
    <w:rsid w:val="00FB10F0"/>
    <w:rsid w:val="00FC3AA1"/>
    <w:rsid w:val="00FC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5E4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127</Words>
  <Characters>724</Characters>
  <Application>Microsoft Office Word</Application>
  <DocSecurity>0</DocSecurity>
  <Lines>6</Lines>
  <Paragraphs>1</Paragraphs>
  <ScaleCrop>false</ScaleCrop>
  <Company>xwczj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Lenovo User</cp:lastModifiedBy>
  <cp:revision>9</cp:revision>
  <dcterms:created xsi:type="dcterms:W3CDTF">2019-02-03T02:12:00Z</dcterms:created>
  <dcterms:modified xsi:type="dcterms:W3CDTF">2019-02-21T06:44:00Z</dcterms:modified>
</cp:coreProperties>
</file>