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06575">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北京市西城区三义里小学</w:t>
      </w:r>
    </w:p>
    <w:p w14:paraId="5982AFC1">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059D7055">
      <w:pPr>
        <w:snapToGrid w:val="0"/>
        <w:spacing w:before="100" w:beforeAutospacing="1" w:after="100" w:afterAutospacing="1" w:line="560" w:lineRule="exact"/>
        <w:contextualSpacing/>
        <w:rPr>
          <w:rFonts w:ascii="仿宋_GB2312" w:eastAsia="仿宋_GB2312"/>
          <w:b/>
          <w:sz w:val="44"/>
          <w:szCs w:val="44"/>
        </w:rPr>
      </w:pPr>
    </w:p>
    <w:p w14:paraId="03EB31F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70E896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5ADAA137">
      <w:pPr>
        <w:adjustRightInd w:val="0"/>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我校北京市西城区三义里小学属于北京市西城区教育事业单位。主要职责是：</w:t>
      </w:r>
    </w:p>
    <w:p w14:paraId="1067A0F6">
      <w:pPr>
        <w:pStyle w:val="9"/>
        <w:numPr>
          <w:ilvl w:val="0"/>
          <w:numId w:val="1"/>
        </w:numPr>
        <w:adjustRightInd w:val="0"/>
        <w:snapToGrid w:val="0"/>
        <w:spacing w:before="100" w:beforeAutospacing="1" w:after="100" w:afterAutospacing="1" w:line="560" w:lineRule="exact"/>
        <w:ind w:firstLineChars="0"/>
        <w:contextualSpacing/>
        <w:rPr>
          <w:rFonts w:ascii="仿宋_GB2312" w:eastAsia="仿宋_GB2312"/>
          <w:color w:val="000000"/>
          <w:sz w:val="32"/>
          <w:szCs w:val="32"/>
        </w:rPr>
      </w:pPr>
      <w:r>
        <w:rPr>
          <w:rFonts w:hint="eastAsia" w:ascii="仿宋_GB2312" w:eastAsia="仿宋_GB2312"/>
          <w:color w:val="000000"/>
          <w:sz w:val="32"/>
          <w:szCs w:val="32"/>
        </w:rPr>
        <w:t>全面贯彻中央及北京市教育工作路线、方针、政策，全面推进素质教育和现代化教育。</w:t>
      </w:r>
    </w:p>
    <w:p w14:paraId="7296B902">
      <w:pPr>
        <w:pStyle w:val="9"/>
        <w:numPr>
          <w:ilvl w:val="0"/>
          <w:numId w:val="1"/>
        </w:numPr>
        <w:adjustRightInd w:val="0"/>
        <w:snapToGrid w:val="0"/>
        <w:spacing w:before="100" w:beforeAutospacing="1" w:after="100" w:afterAutospacing="1" w:line="560" w:lineRule="exact"/>
        <w:ind w:firstLineChars="0"/>
        <w:contextualSpacing/>
        <w:rPr>
          <w:rFonts w:ascii="仿宋_GB2312" w:eastAsia="仿宋_GB2312"/>
          <w:color w:val="000000"/>
          <w:sz w:val="32"/>
          <w:szCs w:val="32"/>
        </w:rPr>
      </w:pPr>
      <w:r>
        <w:rPr>
          <w:rFonts w:hint="eastAsia" w:ascii="仿宋_GB2312" w:eastAsia="仿宋_GB2312"/>
          <w:color w:val="000000"/>
          <w:sz w:val="32"/>
          <w:szCs w:val="32"/>
        </w:rPr>
        <w:t>制订学校中长期发展规划和年度计划，并组织实施；负责指导小学学历教育培养工作。</w:t>
      </w:r>
    </w:p>
    <w:p w14:paraId="1B44720C">
      <w:pPr>
        <w:pStyle w:val="9"/>
        <w:numPr>
          <w:ilvl w:val="0"/>
          <w:numId w:val="1"/>
        </w:numPr>
        <w:adjustRightInd w:val="0"/>
        <w:snapToGrid w:val="0"/>
        <w:spacing w:before="100" w:beforeAutospacing="1" w:after="100" w:afterAutospacing="1" w:line="560" w:lineRule="exact"/>
        <w:ind w:firstLineChars="0"/>
        <w:contextualSpacing/>
        <w:rPr>
          <w:rFonts w:ascii="仿宋_GB2312" w:eastAsia="仿宋_GB2312"/>
          <w:color w:val="000000"/>
          <w:sz w:val="32"/>
          <w:szCs w:val="32"/>
        </w:rPr>
      </w:pPr>
      <w:r>
        <w:rPr>
          <w:rFonts w:hint="eastAsia" w:ascii="仿宋_GB2312" w:eastAsia="仿宋_GB2312"/>
          <w:color w:val="000000"/>
          <w:sz w:val="32"/>
          <w:szCs w:val="32"/>
        </w:rPr>
        <w:t>把德育放在首位，坚持教书育人、管理育人、服务育人、环境育人。制定德育工作计划，建设德育工作骨干队伍，采取切实措施，坚持不懈地加强对学生思想、政治、品德教育。</w:t>
      </w:r>
    </w:p>
    <w:p w14:paraId="2BD7F4A0">
      <w:pPr>
        <w:pStyle w:val="9"/>
        <w:numPr>
          <w:ilvl w:val="0"/>
          <w:numId w:val="1"/>
        </w:numPr>
        <w:adjustRightInd w:val="0"/>
        <w:snapToGrid w:val="0"/>
        <w:spacing w:before="100" w:beforeAutospacing="1" w:after="100" w:afterAutospacing="1" w:line="560" w:lineRule="exact"/>
        <w:ind w:firstLineChars="0"/>
        <w:contextualSpacing/>
        <w:rPr>
          <w:rFonts w:ascii="仿宋_GB2312" w:eastAsia="仿宋_GB2312"/>
          <w:color w:val="000000"/>
          <w:sz w:val="32"/>
          <w:szCs w:val="32"/>
        </w:rPr>
      </w:pPr>
      <w:r>
        <w:rPr>
          <w:rFonts w:hint="eastAsia" w:ascii="仿宋_GB2312" w:eastAsia="仿宋_GB2312"/>
          <w:color w:val="000000"/>
          <w:sz w:val="32"/>
          <w:szCs w:val="32"/>
        </w:rPr>
        <w:t>坚持以教学为主，认真履行教育主管部门签订的教育教学质量目标责任书。遵循教学规律组织教学，建立和完善教学管理制度，搞好教学常规管理。</w:t>
      </w:r>
    </w:p>
    <w:p w14:paraId="16D075CB">
      <w:pPr>
        <w:pStyle w:val="9"/>
        <w:numPr>
          <w:ilvl w:val="0"/>
          <w:numId w:val="1"/>
        </w:numPr>
        <w:adjustRightInd w:val="0"/>
        <w:snapToGrid w:val="0"/>
        <w:spacing w:before="100" w:beforeAutospacing="1" w:after="100" w:afterAutospacing="1" w:line="560" w:lineRule="exact"/>
        <w:ind w:firstLineChars="0"/>
        <w:contextualSpacing/>
        <w:rPr>
          <w:rFonts w:ascii="仿宋_GB2312" w:eastAsia="仿宋_GB2312"/>
          <w:color w:val="000000"/>
          <w:sz w:val="32"/>
          <w:szCs w:val="32"/>
        </w:rPr>
      </w:pPr>
      <w:r>
        <w:rPr>
          <w:rFonts w:hint="eastAsia" w:ascii="仿宋_GB2312" w:eastAsia="仿宋_GB2312"/>
          <w:color w:val="000000"/>
          <w:sz w:val="32"/>
          <w:szCs w:val="32"/>
        </w:rPr>
        <w:t>贯彻勤俭办学原则，严格管理校产和财务，搞好校园建设，关心学生和教职工的生活，逐步改善办学条件。</w:t>
      </w:r>
    </w:p>
    <w:p w14:paraId="25DC57A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11A950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本单位事业编制150人，实际在册教职工149人，离休0人，退休70人。学生2378人，其中：小学2378人，特殊教育6人。</w:t>
      </w:r>
    </w:p>
    <w:p w14:paraId="43D409B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4A9F771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388528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7121.99</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预算6650.41</w:t>
      </w:r>
      <w:r>
        <w:rPr>
          <w:rFonts w:hint="eastAsia" w:ascii="仿宋" w:hAnsi="仿宋" w:eastAsia="仿宋"/>
          <w:color w:val="000000"/>
          <w:sz w:val="32"/>
          <w:szCs w:val="32"/>
        </w:rPr>
        <w:t>万元增加471.58万元，增长7.09%，主要原因是绩效工资上涨，且相对应社保公积金预算上涨，最终人员经费与去年相比有所增加。其中：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7116.99</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6650.41</w:t>
      </w:r>
      <w:r>
        <w:rPr>
          <w:rFonts w:hint="eastAsia" w:ascii="仿宋" w:hAnsi="仿宋" w:eastAsia="仿宋"/>
          <w:color w:val="000000"/>
          <w:sz w:val="32"/>
          <w:szCs w:val="32"/>
        </w:rPr>
        <w:t>万元增加466.58万元，增长7.02%。</w:t>
      </w:r>
    </w:p>
    <w:p w14:paraId="781AF3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84A21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7121.99</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6650.41</w:t>
      </w:r>
      <w:r>
        <w:rPr>
          <w:rFonts w:hint="eastAsia" w:ascii="仿宋" w:hAnsi="仿宋" w:eastAsia="仿宋"/>
          <w:color w:val="000000"/>
          <w:sz w:val="32"/>
          <w:szCs w:val="32"/>
        </w:rPr>
        <w:t>万元增加471.58万元，增长7.09%。其中：一般公共预算支出预算</w:t>
      </w:r>
      <w:r>
        <w:rPr>
          <w:rFonts w:ascii="仿宋" w:hAnsi="仿宋" w:eastAsia="仿宋"/>
          <w:color w:val="000000"/>
          <w:sz w:val="32"/>
          <w:szCs w:val="32"/>
        </w:rPr>
        <w:t>7116.99</w:t>
      </w:r>
      <w:r>
        <w:rPr>
          <w:rFonts w:hint="eastAsia" w:ascii="仿宋" w:hAnsi="仿宋" w:eastAsia="仿宋"/>
          <w:color w:val="000000"/>
          <w:sz w:val="32"/>
          <w:szCs w:val="32"/>
        </w:rPr>
        <w:t>万元，一般公共预算支出预算中：</w:t>
      </w:r>
    </w:p>
    <w:p w14:paraId="0CFC022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6582.58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6262.78</w:t>
      </w:r>
      <w:r>
        <w:rPr>
          <w:rFonts w:hint="eastAsia" w:ascii="仿宋" w:hAnsi="仿宋" w:eastAsia="仿宋"/>
          <w:color w:val="000000"/>
          <w:sz w:val="32"/>
          <w:szCs w:val="32"/>
        </w:rPr>
        <w:t>万元增加</w:t>
      </w:r>
      <w:r>
        <w:rPr>
          <w:rFonts w:ascii="仿宋" w:hAnsi="仿宋" w:eastAsia="仿宋"/>
          <w:color w:val="000000"/>
          <w:sz w:val="32"/>
          <w:szCs w:val="32"/>
        </w:rPr>
        <w:t>319.80</w:t>
      </w:r>
      <w:r>
        <w:rPr>
          <w:rFonts w:hint="eastAsia" w:ascii="仿宋" w:hAnsi="仿宋" w:eastAsia="仿宋"/>
          <w:color w:val="000000"/>
          <w:sz w:val="32"/>
          <w:szCs w:val="32"/>
        </w:rPr>
        <w:t>万元，增长5.11%，主要原因是绩效工资上涨，且相对应社保公积金预算上涨，最终人员经费与去年相比有所增加。</w:t>
      </w:r>
    </w:p>
    <w:p w14:paraId="5ED00C1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534.41</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387.63</w:t>
      </w:r>
      <w:r>
        <w:rPr>
          <w:rFonts w:hint="eastAsia" w:ascii="仿宋" w:hAnsi="仿宋" w:eastAsia="仿宋"/>
          <w:color w:val="000000"/>
          <w:sz w:val="32"/>
          <w:szCs w:val="32"/>
        </w:rPr>
        <w:t>万元增加</w:t>
      </w:r>
      <w:r>
        <w:rPr>
          <w:rFonts w:ascii="仿宋" w:hAnsi="仿宋" w:eastAsia="仿宋"/>
          <w:color w:val="000000"/>
          <w:sz w:val="32"/>
          <w:szCs w:val="32"/>
        </w:rPr>
        <w:t>146.78</w:t>
      </w:r>
      <w:r>
        <w:rPr>
          <w:rFonts w:hint="eastAsia" w:ascii="仿宋" w:hAnsi="仿宋" w:eastAsia="仿宋"/>
          <w:color w:val="000000"/>
          <w:sz w:val="32"/>
          <w:szCs w:val="32"/>
        </w:rPr>
        <w:t>万元，增长37.87%。主要原因是本年度年初增加两个较大项目，分别为楼生活用水设备改造工程和外聘人员专项经费。</w:t>
      </w:r>
    </w:p>
    <w:p w14:paraId="6766856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1521E58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2023年支出预算</w:t>
      </w:r>
      <w:r>
        <w:rPr>
          <w:rFonts w:ascii="仿宋" w:hAnsi="仿宋" w:eastAsia="仿宋"/>
          <w:color w:val="000000"/>
          <w:sz w:val="32"/>
          <w:szCs w:val="32"/>
        </w:rPr>
        <w:t>中一般公共预算支出预算7116.99</w:t>
      </w:r>
      <w:r>
        <w:rPr>
          <w:rFonts w:hint="eastAsia" w:ascii="仿宋" w:hAnsi="仿宋" w:eastAsia="仿宋"/>
          <w:color w:val="000000"/>
          <w:sz w:val="32"/>
          <w:szCs w:val="32"/>
        </w:rPr>
        <w:t>万元</w:t>
      </w:r>
      <w:r>
        <w:rPr>
          <w:rFonts w:ascii="仿宋" w:hAnsi="仿宋" w:eastAsia="仿宋"/>
          <w:color w:val="000000"/>
          <w:sz w:val="32"/>
          <w:szCs w:val="32"/>
        </w:rPr>
        <w:t>，</w:t>
      </w:r>
      <w:r>
        <w:rPr>
          <w:rFonts w:hint="eastAsia" w:ascii="仿宋" w:hAnsi="仿宋" w:eastAsia="仿宋"/>
          <w:color w:val="000000"/>
          <w:sz w:val="32"/>
          <w:szCs w:val="32"/>
        </w:rPr>
        <w:t>其中</w:t>
      </w:r>
      <w:r>
        <w:rPr>
          <w:rFonts w:ascii="仿宋" w:hAnsi="仿宋" w:eastAsia="仿宋"/>
          <w:color w:val="000000"/>
          <w:sz w:val="32"/>
          <w:szCs w:val="32"/>
        </w:rPr>
        <w:t>：</w:t>
      </w:r>
      <w:r>
        <w:rPr>
          <w:rFonts w:hint="eastAsia" w:ascii="仿宋" w:hAnsi="仿宋" w:eastAsia="仿宋"/>
          <w:color w:val="000000"/>
          <w:sz w:val="32"/>
          <w:szCs w:val="32"/>
        </w:rPr>
        <w:t>基本支出预算</w:t>
      </w:r>
      <w:r>
        <w:rPr>
          <w:rFonts w:ascii="仿宋" w:hAnsi="仿宋" w:eastAsia="仿宋"/>
          <w:color w:val="000000"/>
          <w:sz w:val="32"/>
          <w:szCs w:val="32"/>
        </w:rPr>
        <w:t>6582.58</w:t>
      </w:r>
      <w:r>
        <w:rPr>
          <w:rFonts w:hint="eastAsia" w:ascii="仿宋" w:hAnsi="仿宋" w:eastAsia="仿宋"/>
          <w:color w:val="000000"/>
          <w:sz w:val="32"/>
          <w:szCs w:val="32"/>
        </w:rPr>
        <w:t>万元，较去年年初</w:t>
      </w:r>
      <w:r>
        <w:rPr>
          <w:rFonts w:ascii="仿宋" w:hAnsi="仿宋" w:eastAsia="仿宋"/>
          <w:color w:val="000000"/>
          <w:sz w:val="32"/>
          <w:szCs w:val="32"/>
        </w:rPr>
        <w:t>预算6262.78</w:t>
      </w:r>
      <w:r>
        <w:rPr>
          <w:rFonts w:hint="eastAsia" w:ascii="仿宋" w:hAnsi="仿宋" w:eastAsia="仿宋"/>
          <w:color w:val="000000"/>
          <w:sz w:val="32"/>
          <w:szCs w:val="32"/>
        </w:rPr>
        <w:t>万元增加</w:t>
      </w:r>
      <w:r>
        <w:rPr>
          <w:rFonts w:ascii="仿宋" w:hAnsi="仿宋" w:eastAsia="仿宋"/>
          <w:color w:val="000000"/>
          <w:sz w:val="32"/>
          <w:szCs w:val="32"/>
        </w:rPr>
        <w:t>319.80</w:t>
      </w:r>
      <w:r>
        <w:rPr>
          <w:rFonts w:hint="eastAsia" w:ascii="仿宋" w:hAnsi="仿宋" w:eastAsia="仿宋"/>
          <w:color w:val="000000"/>
          <w:sz w:val="32"/>
          <w:szCs w:val="32"/>
        </w:rPr>
        <w:t>万元，主要原因是绩效工资上涨，且相对应社保公积金预算上涨，最终人员经费与去年相比有所增加。项目支出预算</w:t>
      </w:r>
      <w:r>
        <w:rPr>
          <w:rFonts w:ascii="仿宋" w:hAnsi="仿宋" w:eastAsia="仿宋"/>
          <w:color w:val="000000"/>
          <w:sz w:val="32"/>
          <w:szCs w:val="32"/>
        </w:rPr>
        <w:t>534.41</w:t>
      </w:r>
      <w:r>
        <w:rPr>
          <w:rFonts w:hint="eastAsia" w:ascii="仿宋" w:hAnsi="仿宋" w:eastAsia="仿宋"/>
          <w:color w:val="000000"/>
          <w:sz w:val="32"/>
          <w:szCs w:val="32"/>
        </w:rPr>
        <w:t>万元，较去年年初</w:t>
      </w:r>
      <w:r>
        <w:rPr>
          <w:rFonts w:ascii="仿宋" w:hAnsi="仿宋" w:eastAsia="仿宋"/>
          <w:color w:val="000000"/>
          <w:sz w:val="32"/>
          <w:szCs w:val="32"/>
        </w:rPr>
        <w:t>预算387.63</w:t>
      </w:r>
      <w:r>
        <w:rPr>
          <w:rFonts w:hint="eastAsia" w:ascii="仿宋" w:hAnsi="仿宋" w:eastAsia="仿宋"/>
          <w:color w:val="000000"/>
          <w:sz w:val="32"/>
          <w:szCs w:val="32"/>
        </w:rPr>
        <w:t>万元增加</w:t>
      </w:r>
      <w:r>
        <w:rPr>
          <w:rFonts w:ascii="仿宋" w:hAnsi="仿宋" w:eastAsia="仿宋"/>
          <w:color w:val="000000"/>
          <w:sz w:val="32"/>
          <w:szCs w:val="32"/>
        </w:rPr>
        <w:t>146.78</w:t>
      </w:r>
      <w:r>
        <w:rPr>
          <w:rFonts w:hint="eastAsia" w:ascii="仿宋" w:hAnsi="仿宋" w:eastAsia="仿宋"/>
          <w:color w:val="000000"/>
          <w:sz w:val="32"/>
          <w:szCs w:val="32"/>
        </w:rPr>
        <w:t>万元，主要原因是本年度年初增加两个较大项目，分别为楼生活用水设备改造工程56万和外聘人员专项经费63万。</w:t>
      </w:r>
    </w:p>
    <w:p w14:paraId="5870240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p>
    <w:p w14:paraId="6A20D82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910DC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6F4A5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281F70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5EEFEC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北京市西城区三义里小学公用经费预算按照北京市财政局和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》的规定执行。2024年部门预算“三公”经费一般公共预算0万元，较2023年年初预算0万元增加0万元。</w:t>
      </w:r>
    </w:p>
    <w:p w14:paraId="355BE2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w:t>
      </w:r>
    </w:p>
    <w:p w14:paraId="21041F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w:t>
      </w:r>
    </w:p>
    <w:p w14:paraId="051ED13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363D7E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0354BE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7AE55F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6254F5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0613ED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2024年涉及政府采购项目预算资金79.67万元。</w:t>
      </w:r>
    </w:p>
    <w:p w14:paraId="0DB51C4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80A4C3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3E19FEC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650897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2024年预算填报项目申报表的项目15项，占总项目数额的100%以上，100万元以上项目共计1个，涉及金额180万元。</w:t>
      </w:r>
    </w:p>
    <w:p w14:paraId="5AB74EC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5564EB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1B165FD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44680FD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3551.13万元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51C385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4E800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75FB6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99E313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4D1DD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21DC5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0E7C6F4">
        <w:pPr>
          <w:pStyle w:val="3"/>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5</w:t>
        </w:r>
        <w:r>
          <w:rPr>
            <w:rFonts w:ascii="仿宋" w:hAnsi="仿宋" w:eastAsia="仿宋"/>
            <w:sz w:val="28"/>
          </w:rPr>
          <w:fldChar w:fldCharType="end"/>
        </w:r>
      </w:p>
    </w:sdtContent>
  </w:sdt>
  <w:p w14:paraId="36C866B8">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75563B"/>
    <w:multiLevelType w:val="multilevel"/>
    <w:tmpl w:val="0E75563B"/>
    <w:lvl w:ilvl="0" w:tentative="0">
      <w:start w:val="1"/>
      <w:numFmt w:val="decimal"/>
      <w:lvlText w:val="%1."/>
      <w:lvlJc w:val="left"/>
      <w:pPr>
        <w:ind w:left="1615" w:hanging="975"/>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3E64"/>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234"/>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4D0"/>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885"/>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BCE"/>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71E"/>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0F8B"/>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47A6"/>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26C"/>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7E"/>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311"/>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85A"/>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D79"/>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68FF"/>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5D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335"/>
    <w:rsid w:val="00892402"/>
    <w:rsid w:val="0089258B"/>
    <w:rsid w:val="00892940"/>
    <w:rsid w:val="00892ACE"/>
    <w:rsid w:val="00893311"/>
    <w:rsid w:val="008933C9"/>
    <w:rsid w:val="0089349A"/>
    <w:rsid w:val="00893B65"/>
    <w:rsid w:val="00893CA2"/>
    <w:rsid w:val="00893EEA"/>
    <w:rsid w:val="0089412C"/>
    <w:rsid w:val="00894425"/>
    <w:rsid w:val="008946C6"/>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DB9"/>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DEE"/>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171"/>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69B8"/>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0F0"/>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233"/>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439"/>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054"/>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5BF"/>
    <w:rsid w:val="00E517BF"/>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89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33"/>
    <w:rsid w:val="00ED1196"/>
    <w:rsid w:val="00ED249A"/>
    <w:rsid w:val="00ED25A6"/>
    <w:rsid w:val="00ED25CA"/>
    <w:rsid w:val="00ED2E28"/>
    <w:rsid w:val="00ED3082"/>
    <w:rsid w:val="00ED3321"/>
    <w:rsid w:val="00ED380A"/>
    <w:rsid w:val="00ED3A37"/>
    <w:rsid w:val="00ED3C0E"/>
    <w:rsid w:val="00ED4954"/>
    <w:rsid w:val="00ED4EB5"/>
    <w:rsid w:val="00ED4EC3"/>
    <w:rsid w:val="00ED5146"/>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02C"/>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38F16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ascii="Times New Roman" w:hAnsi="Times New Roman" w:eastAsia="宋体" w:cs="Times New Roman"/>
      <w:sz w:val="18"/>
      <w:szCs w:val="18"/>
    </w:rPr>
  </w:style>
  <w:style w:type="character" w:customStyle="1" w:styleId="8">
    <w:name w:val="页脚 Char"/>
    <w:basedOn w:val="6"/>
    <w:link w:val="3"/>
    <w:qFormat/>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368</Words>
  <Characters>2098</Characters>
  <Lines>17</Lines>
  <Paragraphs>4</Paragraphs>
  <TotalTime>4</TotalTime>
  <ScaleCrop>false</ScaleCrop>
  <LinksUpToDate>false</LinksUpToDate>
  <CharactersWithSpaces>2462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2024-01-22T07:32:00Z</dcterms:created>
  <dc:creator>admin</dc:creator>
  <cp:lastModifiedBy>臧璐</cp:lastModifiedBy>
  <cp:lastPrinted>2024-01-22T07:17:00Z</cp:lastPrinted>
  <dcterms:modified xsi:type="dcterms:W3CDTF">2025-05-07T05:54:53Z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7CFA5E1CD11F42F3876F22AE38B0E7C4_12</vt:lpwstr>
  </property>
</Properties>
</file>