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年度北京市西城区</w:t>
      </w:r>
    </w:p>
    <w:p>
      <w:pPr>
        <w:jc w:val="center"/>
        <w:rPr>
          <w:rFonts w:hint="eastAsia" w:ascii="黑体" w:eastAsia="黑体"/>
          <w:sz w:val="72"/>
          <w:szCs w:val="72"/>
          <w:lang w:eastAsia="zh-CN"/>
        </w:rPr>
      </w:pPr>
      <w:r>
        <w:rPr>
          <w:rFonts w:hint="eastAsia" w:ascii="黑体" w:hAnsi="Times New Roman" w:eastAsia="黑体" w:cs="Times New Roman"/>
          <w:sz w:val="72"/>
          <w:szCs w:val="72"/>
          <w:lang w:eastAsia="zh-CN"/>
        </w:rPr>
        <w:t>科技创新中心</w:t>
      </w:r>
      <w:r>
        <w:rPr>
          <w:rFonts w:hint="eastAsia" w:ascii="黑体" w:eastAsia="黑体"/>
          <w:sz w:val="72"/>
          <w:szCs w:val="72"/>
        </w:rPr>
        <w:t>部门决算</w:t>
      </w:r>
      <w:r>
        <w:rPr>
          <w:rFonts w:hint="eastAsia" w:ascii="黑体" w:eastAsia="黑体"/>
          <w:sz w:val="72"/>
          <w:szCs w:val="72"/>
          <w:lang w:eastAsia="zh-CN"/>
        </w:rPr>
        <w:t>（公开）</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根据西编发[2019]59号文件，将北京市西城区生产力促进中心更名为北京市西城区科技创新中心；科技创新中心实行独立核算，执行事业单位会计制度。本中心为科信局所属相当科级财政补助公益一类事业单位。</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主要职责：</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（1）负责科技资源调查分析，开展科技创新对策研究和科技企业技术创新服务工作；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（2）协助推进科技项目实施。承担本区科技型中小企业评价工作；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（3）负责为本区科技企业开展科技政策宣传、培训交流和咨询服务；</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（4）推进区域科技企业信用体系建设。协助开展促进科技成果转化、科技创新服务体系建设工作；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（5）负责科技促进区域经济社会发展课题和项目的调研、推荐及管理实施工作。协助开展科普工作。承担本区技术管理管理事务性工作；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（6）负责办理技术合同的认定登记工作。</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287.92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hAnsi="仿宋" w:eastAsia="仿宋_GB2312"/>
          <w:sz w:val="32"/>
          <w:szCs w:val="32"/>
          <w:highlight w:val="none"/>
          <w:u w:val="none"/>
        </w:rPr>
        <w:t>384</w:t>
      </w:r>
      <w:r>
        <w:rPr>
          <w:rFonts w:hint="eastAsia" w:ascii="仿宋_GB2312" w:eastAsia="仿宋_GB2312"/>
          <w:sz w:val="28"/>
          <w:szCs w:val="28"/>
        </w:rPr>
        <w:t>减少</w:t>
      </w:r>
      <w:r>
        <w:rPr>
          <w:rFonts w:hint="eastAsia" w:ascii="仿宋_GB2312" w:hAnsi="仿宋" w:eastAsia="仿宋_GB2312"/>
          <w:sz w:val="32"/>
          <w:szCs w:val="32"/>
          <w:highlight w:val="none"/>
          <w:u w:val="none"/>
        </w:rPr>
        <w:t>96.08</w:t>
      </w:r>
      <w:r>
        <w:rPr>
          <w:rFonts w:hint="eastAsia" w:ascii="仿宋_GB2312" w:eastAsia="仿宋_GB2312"/>
          <w:sz w:val="28"/>
          <w:szCs w:val="28"/>
        </w:rPr>
        <w:t>万元，下降</w:t>
      </w:r>
      <w:r>
        <w:rPr>
          <w:rFonts w:hint="eastAsia" w:ascii="仿宋_GB2312" w:hAnsi="仿宋" w:eastAsia="仿宋_GB2312"/>
          <w:sz w:val="32"/>
          <w:szCs w:val="32"/>
          <w:highlight w:val="none"/>
          <w:u w:val="none"/>
        </w:rPr>
        <w:t>25.02</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287.92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hAnsi="仿宋" w:eastAsia="仿宋_GB2312"/>
          <w:sz w:val="32"/>
          <w:szCs w:val="32"/>
          <w:highlight w:val="none"/>
          <w:u w:val="none"/>
        </w:rPr>
        <w:t>384</w:t>
      </w:r>
      <w:r>
        <w:rPr>
          <w:rFonts w:hint="eastAsia" w:ascii="仿宋_GB2312" w:eastAsia="仿宋_GB2312"/>
          <w:sz w:val="28"/>
          <w:szCs w:val="28"/>
        </w:rPr>
        <w:t>减少</w:t>
      </w:r>
      <w:r>
        <w:rPr>
          <w:rFonts w:hint="eastAsia" w:ascii="仿宋_GB2312" w:hAnsi="仿宋" w:eastAsia="仿宋_GB2312"/>
          <w:sz w:val="32"/>
          <w:szCs w:val="32"/>
          <w:highlight w:val="none"/>
          <w:u w:val="none"/>
        </w:rPr>
        <w:t>96.08</w:t>
      </w:r>
      <w:r>
        <w:rPr>
          <w:rFonts w:hint="eastAsia" w:ascii="仿宋_GB2312" w:eastAsia="仿宋_GB2312"/>
          <w:sz w:val="28"/>
          <w:szCs w:val="28"/>
        </w:rPr>
        <w:t>万元，下降</w:t>
      </w:r>
      <w:r>
        <w:rPr>
          <w:rFonts w:hint="eastAsia" w:ascii="仿宋_GB2312" w:hAnsi="仿宋" w:eastAsia="仿宋_GB2312"/>
          <w:sz w:val="32"/>
          <w:szCs w:val="32"/>
          <w:highlight w:val="none"/>
          <w:u w:val="none"/>
        </w:rPr>
        <w:t>25.02</w:t>
      </w:r>
      <w:r>
        <w:rPr>
          <w:rFonts w:hint="eastAsia" w:ascii="仿宋_GB2312" w:eastAsia="仿宋_GB2312"/>
          <w:sz w:val="28"/>
          <w:szCs w:val="28"/>
        </w:rPr>
        <w:t>%。</w:t>
      </w:r>
    </w:p>
    <w:p>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287.92</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287.92</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pPr>
        <w:pStyle w:val="3"/>
        <w:jc w:val="center"/>
        <w:rPr>
          <w:rFonts w:hint="eastAsia"/>
        </w:rPr>
      </w:pPr>
      <w:r>
        <w:rPr>
          <w:rFonts w:hint="eastAsia" w:ascii="仿宋_GB2312" w:eastAsia="仿宋_GB2312"/>
          <w:color w:val="000000"/>
          <w:sz w:val="32"/>
        </w:rPr>
        <w:t>图1：收入决算</w:t>
      </w:r>
    </w:p>
    <w:p>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287.92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hAnsi="仿宋" w:eastAsia="仿宋_GB2312"/>
          <w:sz w:val="32"/>
          <w:szCs w:val="32"/>
          <w:highlight w:val="none"/>
          <w:u w:val="none"/>
        </w:rPr>
        <w:t>384</w:t>
      </w:r>
      <w:r>
        <w:rPr>
          <w:rFonts w:hint="eastAsia" w:ascii="仿宋_GB2312" w:eastAsia="仿宋_GB2312"/>
          <w:sz w:val="28"/>
          <w:szCs w:val="28"/>
        </w:rPr>
        <w:t>减少</w:t>
      </w:r>
      <w:r>
        <w:rPr>
          <w:rFonts w:hint="eastAsia" w:ascii="仿宋_GB2312" w:hAnsi="仿宋" w:eastAsia="仿宋_GB2312"/>
          <w:sz w:val="32"/>
          <w:szCs w:val="32"/>
          <w:highlight w:val="none"/>
          <w:u w:val="none"/>
        </w:rPr>
        <w:t>96.08</w:t>
      </w:r>
      <w:r>
        <w:rPr>
          <w:rFonts w:hint="eastAsia" w:ascii="仿宋_GB2312" w:eastAsia="仿宋_GB2312"/>
          <w:sz w:val="28"/>
          <w:szCs w:val="28"/>
        </w:rPr>
        <w:t>万元，下降</w:t>
      </w:r>
      <w:r>
        <w:rPr>
          <w:rFonts w:hint="eastAsia" w:ascii="仿宋_GB2312" w:hAnsi="仿宋" w:eastAsia="仿宋_GB2312"/>
          <w:sz w:val="32"/>
          <w:szCs w:val="32"/>
          <w:highlight w:val="none"/>
          <w:u w:val="none"/>
        </w:rPr>
        <w:t>25.02</w:t>
      </w:r>
      <w:r>
        <w:rPr>
          <w:rFonts w:hint="eastAsia" w:ascii="仿宋_GB2312" w:eastAsia="仿宋_GB2312"/>
          <w:sz w:val="28"/>
          <w:szCs w:val="28"/>
        </w:rPr>
        <w:t>%，其中：基本支出</w:t>
      </w:r>
      <w:r>
        <w:rPr>
          <w:rFonts w:ascii="仿宋_GB2312" w:eastAsia="仿宋_GB2312"/>
          <w:sz w:val="28"/>
          <w:szCs w:val="28"/>
        </w:rPr>
        <w:t>285.39</w:t>
      </w:r>
      <w:r>
        <w:rPr>
          <w:rFonts w:hint="eastAsia" w:ascii="仿宋_GB2312" w:eastAsia="仿宋_GB2312"/>
          <w:sz w:val="28"/>
          <w:szCs w:val="28"/>
        </w:rPr>
        <w:t>万元，占支出合计的</w:t>
      </w:r>
      <w:r>
        <w:rPr>
          <w:rFonts w:hint="eastAsia" w:ascii="仿宋_GB2312" w:eastAsia="仿宋_GB2312"/>
          <w:sz w:val="28"/>
          <w:szCs w:val="28"/>
          <w:lang w:eastAsia="zh-CN"/>
        </w:rPr>
        <w:t>99.12</w:t>
      </w:r>
      <w:r>
        <w:rPr>
          <w:rFonts w:hint="eastAsia" w:ascii="仿宋_GB2312" w:eastAsia="仿宋_GB2312"/>
          <w:sz w:val="28"/>
          <w:szCs w:val="28"/>
        </w:rPr>
        <w:t>%；项目支出</w:t>
      </w:r>
      <w:r>
        <w:rPr>
          <w:rFonts w:ascii="仿宋_GB2312" w:eastAsia="仿宋_GB2312"/>
          <w:sz w:val="28"/>
          <w:szCs w:val="28"/>
        </w:rPr>
        <w:t>2.53</w:t>
      </w:r>
      <w:r>
        <w:rPr>
          <w:rFonts w:hint="eastAsia" w:ascii="仿宋_GB2312" w:eastAsia="仿宋_GB2312"/>
          <w:sz w:val="28"/>
          <w:szCs w:val="28"/>
        </w:rPr>
        <w:t>万元，占支出合计的</w:t>
      </w:r>
      <w:r>
        <w:rPr>
          <w:rFonts w:hint="eastAsia" w:ascii="仿宋_GB2312" w:eastAsia="仿宋_GB2312"/>
          <w:sz w:val="28"/>
          <w:szCs w:val="28"/>
          <w:lang w:eastAsia="zh-CN"/>
        </w:rPr>
        <w:t>0.88</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287.92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hAnsi="仿宋" w:eastAsia="仿宋_GB2312"/>
          <w:sz w:val="32"/>
          <w:szCs w:val="32"/>
          <w:highlight w:val="none"/>
          <w:u w:val="none"/>
        </w:rPr>
        <w:t>384</w:t>
      </w:r>
      <w:r>
        <w:rPr>
          <w:rFonts w:hint="eastAsia" w:ascii="仿宋_GB2312" w:eastAsia="仿宋_GB2312"/>
          <w:sz w:val="28"/>
          <w:szCs w:val="28"/>
        </w:rPr>
        <w:t>减少</w:t>
      </w:r>
      <w:r>
        <w:rPr>
          <w:rFonts w:hint="eastAsia" w:ascii="仿宋_GB2312" w:hAnsi="仿宋" w:eastAsia="仿宋_GB2312"/>
          <w:sz w:val="32"/>
          <w:szCs w:val="32"/>
          <w:highlight w:val="none"/>
          <w:u w:val="none"/>
        </w:rPr>
        <w:t>96.08</w:t>
      </w:r>
      <w:r>
        <w:rPr>
          <w:rFonts w:hint="eastAsia" w:ascii="仿宋_GB2312" w:eastAsia="仿宋_GB2312"/>
          <w:sz w:val="28"/>
          <w:szCs w:val="28"/>
        </w:rPr>
        <w:t>万元，下降</w:t>
      </w:r>
      <w:r>
        <w:rPr>
          <w:rFonts w:hint="eastAsia" w:ascii="仿宋_GB2312" w:hAnsi="仿宋" w:eastAsia="仿宋_GB2312"/>
          <w:sz w:val="32"/>
          <w:szCs w:val="32"/>
          <w:highlight w:val="none"/>
          <w:u w:val="none"/>
        </w:rPr>
        <w:t>25.02</w:t>
      </w:r>
      <w:r>
        <w:rPr>
          <w:rFonts w:hint="eastAsia" w:ascii="仿宋_GB2312" w:eastAsia="仿宋_GB2312"/>
          <w:sz w:val="28"/>
          <w:szCs w:val="28"/>
        </w:rPr>
        <w:t>%。主要原因：</w:t>
      </w:r>
      <w:r>
        <w:rPr>
          <w:rFonts w:hint="eastAsia" w:ascii="仿宋_GB2312" w:eastAsia="仿宋_GB2312"/>
          <w:sz w:val="28"/>
          <w:szCs w:val="28"/>
          <w:lang w:eastAsia="zh-CN"/>
        </w:rPr>
        <w:t>因</w:t>
      </w:r>
      <w:r>
        <w:rPr>
          <w:rFonts w:hint="eastAsia" w:ascii="仿宋_GB2312" w:eastAsia="仿宋_GB2312"/>
          <w:sz w:val="28"/>
          <w:szCs w:val="28"/>
        </w:rPr>
        <w:t>机构改革，</w:t>
      </w:r>
      <w:r>
        <w:rPr>
          <w:rFonts w:hint="eastAsia" w:ascii="仿宋_GB2312" w:eastAsia="仿宋_GB2312"/>
          <w:sz w:val="28"/>
          <w:szCs w:val="28"/>
          <w:lang w:eastAsia="zh-CN"/>
        </w:rPr>
        <w:t>科创中心人员全部转隶至</w:t>
      </w:r>
      <w:r>
        <w:rPr>
          <w:rFonts w:hint="eastAsia" w:ascii="仿宋_GB2312" w:eastAsia="仿宋_GB2312"/>
          <w:sz w:val="28"/>
          <w:szCs w:val="28"/>
        </w:rPr>
        <w:t>西城园</w:t>
      </w:r>
      <w:r>
        <w:rPr>
          <w:rFonts w:hint="eastAsia" w:ascii="仿宋_GB2312" w:eastAsia="仿宋_GB2312"/>
          <w:sz w:val="28"/>
          <w:szCs w:val="28"/>
          <w:lang w:eastAsia="zh-CN"/>
        </w:rPr>
        <w:t>管委会，划转</w:t>
      </w:r>
      <w:r>
        <w:rPr>
          <w:rFonts w:hint="eastAsia" w:ascii="仿宋_GB2312" w:eastAsia="仿宋_GB2312"/>
          <w:sz w:val="28"/>
          <w:szCs w:val="28"/>
        </w:rPr>
        <w:t>公用经费及调减人员社保。</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287.92</w:t>
      </w:r>
      <w:r>
        <w:rPr>
          <w:rFonts w:hint="eastAsia" w:ascii="仿宋_GB2312" w:eastAsia="仿宋_GB2312"/>
          <w:sz w:val="28"/>
          <w:szCs w:val="28"/>
        </w:rPr>
        <w:t>万元，主要用于以下方面（按大类）：一般公共服务支出</w:t>
      </w:r>
      <w:r>
        <w:rPr>
          <w:rFonts w:ascii="仿宋_GB2312" w:eastAsia="仿宋_GB2312"/>
          <w:sz w:val="28"/>
          <w:szCs w:val="28"/>
        </w:rPr>
        <w:t>287.92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、教育支出</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0.867万元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0.867万</w:t>
      </w:r>
      <w:r>
        <w:rPr>
          <w:rFonts w:hint="eastAsia" w:ascii="仿宋_GB2312" w:eastAsia="仿宋_GB2312"/>
          <w:sz w:val="28"/>
          <w:szCs w:val="28"/>
        </w:rPr>
        <w:t>元，下降</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压减培训支出</w:t>
      </w:r>
      <w:r>
        <w:rPr>
          <w:rFonts w:hint="eastAsia" w:ascii="仿宋_GB2312" w:eastAsia="仿宋_GB2312"/>
          <w:sz w:val="28"/>
          <w:szCs w:val="28"/>
        </w:rPr>
        <w:t>。</w:t>
      </w:r>
    </w:p>
    <w:p>
      <w:pPr>
        <w:numPr>
          <w:ilvl w:val="0"/>
          <w:numId w:val="1"/>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科学技术支出</w:t>
      </w:r>
      <w:r>
        <w:rPr>
          <w:rFonts w:hint="eastAsia" w:ascii="仿宋_GB2312" w:eastAsia="仿宋_GB2312"/>
          <w:sz w:val="28"/>
          <w:szCs w:val="28"/>
        </w:rPr>
        <w:tab/>
      </w:r>
    </w:p>
    <w:p>
      <w:pPr>
        <w:numPr>
          <w:ilvl w:val="0"/>
          <w:numId w:val="0"/>
        </w:numPr>
        <w:spacing w:line="580" w:lineRule="exact"/>
        <w:outlineLvl w:val="1"/>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273.41</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234.55万元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29.34</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13.41</w:t>
      </w:r>
      <w:r>
        <w:rPr>
          <w:rFonts w:hint="eastAsia" w:ascii="仿宋_GB2312" w:eastAsia="仿宋_GB2312"/>
          <w:sz w:val="28"/>
          <w:szCs w:val="28"/>
        </w:rPr>
        <w:t>%。主要原因：</w:t>
      </w:r>
      <w:r>
        <w:rPr>
          <w:rFonts w:hint="eastAsia" w:ascii="仿宋_GB2312" w:eastAsia="仿宋_GB2312"/>
          <w:sz w:val="28"/>
          <w:szCs w:val="28"/>
          <w:lang w:eastAsia="zh-CN"/>
        </w:rPr>
        <w:t>人员工资结构调整</w:t>
      </w:r>
      <w:r>
        <w:rPr>
          <w:rFonts w:hint="eastAsia" w:ascii="仿宋_GB2312" w:eastAsia="仿宋_GB2312"/>
          <w:sz w:val="28"/>
          <w:szCs w:val="28"/>
        </w:rPr>
        <w:t>。</w:t>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w:t>
      </w:r>
    </w:p>
    <w:p>
      <w:pPr>
        <w:numPr>
          <w:ilvl w:val="0"/>
          <w:numId w:val="0"/>
        </w:numPr>
        <w:spacing w:line="580" w:lineRule="exact"/>
        <w:outlineLvl w:val="1"/>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34.47</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44.94万元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10.47万元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23.29</w:t>
      </w:r>
      <w:r>
        <w:rPr>
          <w:rFonts w:hint="eastAsia" w:ascii="仿宋_GB2312" w:eastAsia="仿宋_GB2312"/>
          <w:sz w:val="28"/>
          <w:szCs w:val="28"/>
        </w:rPr>
        <w:t>%。</w:t>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、卫生健康支出</w:t>
      </w:r>
    </w:p>
    <w:p>
      <w:pPr>
        <w:numPr>
          <w:ilvl w:val="0"/>
          <w:numId w:val="0"/>
        </w:numPr>
        <w:spacing w:line="580" w:lineRule="exact"/>
        <w:outlineLvl w:val="1"/>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13.83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22.13万元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8.3万元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37.52</w:t>
      </w:r>
      <w:r>
        <w:rPr>
          <w:rFonts w:hint="eastAsia" w:ascii="仿宋_GB2312" w:eastAsia="仿宋_GB2312"/>
          <w:sz w:val="28"/>
          <w:szCs w:val="28"/>
        </w:rPr>
        <w:t>%。</w:t>
      </w:r>
      <w:r>
        <w:rPr>
          <w:rFonts w:hint="eastAsia" w:ascii="仿宋_GB2312" w:eastAsia="仿宋_GB2312"/>
          <w:sz w:val="28"/>
          <w:szCs w:val="28"/>
        </w:rPr>
        <w:tab/>
      </w:r>
    </w:p>
    <w:p>
      <w:pPr>
        <w:numPr>
          <w:ilvl w:val="0"/>
          <w:numId w:val="0"/>
        </w:numPr>
        <w:spacing w:line="580" w:lineRule="exact"/>
        <w:ind w:firstLine="560" w:firstLineChars="200"/>
        <w:outlineLvl w:val="1"/>
        <w:rPr>
          <w:rFonts w:hint="eastAsia" w:ascii="仿宋_GB2312" w:hAnsi="Times New Roman" w:eastAsia="仿宋_GB2312" w:cs="Times New Roman"/>
          <w:sz w:val="28"/>
          <w:szCs w:val="28"/>
        </w:rPr>
      </w:pPr>
      <w:r>
        <w:rPr>
          <w:rFonts w:hint="eastAsia" w:ascii="仿宋_GB2312" w:eastAsia="仿宋_GB2312"/>
          <w:sz w:val="28"/>
          <w:szCs w:val="28"/>
          <w:lang w:val="en-US" w:eastAsia="zh-CN"/>
        </w:rPr>
        <w:t>5、</w:t>
      </w:r>
      <w:r>
        <w:rPr>
          <w:rFonts w:hint="eastAsia" w:ascii="仿宋_GB2312" w:hAnsi="Times New Roman" w:eastAsia="仿宋_GB2312" w:cs="Times New Roman"/>
          <w:sz w:val="28"/>
          <w:szCs w:val="28"/>
        </w:rPr>
        <w:t>住房保障支出</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36.52</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47.25万元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9.41</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22.7</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本年度未安排政府性基金预算财政拨款收支。</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w:t>
      </w:r>
      <w:r>
        <w:rPr>
          <w:rFonts w:ascii="仿宋_GB2312" w:eastAsia="仿宋_GB2312"/>
          <w:sz w:val="28"/>
          <w:szCs w:val="28"/>
        </w:rPr>
        <w:t>285.39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bookmarkStart w:id="0" w:name="_GoBack"/>
      <w:bookmarkEnd w:id="0"/>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6.08</w:t>
      </w:r>
      <w:r>
        <w:rPr>
          <w:rFonts w:hint="eastAsia" w:ascii="仿宋_GB2312" w:eastAsia="仿宋_GB2312"/>
          <w:sz w:val="28"/>
          <w:szCs w:val="28"/>
        </w:rPr>
        <w:t>万元，比上年</w:t>
      </w:r>
      <w:r>
        <w:rPr>
          <w:rFonts w:hint="eastAsia" w:ascii="仿宋_GB2312" w:eastAsia="仿宋_GB2312"/>
          <w:sz w:val="28"/>
          <w:szCs w:val="28"/>
          <w:lang w:val="en-US" w:eastAsia="zh-CN"/>
        </w:rPr>
        <w:t>11.03</w:t>
      </w:r>
      <w:r>
        <w:rPr>
          <w:rFonts w:hint="eastAsia" w:ascii="仿宋_GB2312" w:eastAsia="仿宋_GB2312"/>
          <w:sz w:val="28"/>
          <w:szCs w:val="28"/>
        </w:rPr>
        <w:t>减少</w:t>
      </w:r>
      <w:r>
        <w:rPr>
          <w:rFonts w:hint="eastAsia" w:ascii="仿宋_GB2312" w:eastAsia="仿宋_GB2312"/>
          <w:sz w:val="28"/>
          <w:szCs w:val="28"/>
          <w:lang w:val="en-US" w:eastAsia="zh-CN"/>
        </w:rPr>
        <w:t>4.95</w:t>
      </w:r>
      <w:r>
        <w:rPr>
          <w:rFonts w:hint="eastAsia" w:ascii="仿宋_GB2312" w:eastAsia="仿宋_GB2312"/>
          <w:sz w:val="28"/>
          <w:szCs w:val="28"/>
        </w:rPr>
        <w:t>万元。</w:t>
      </w:r>
    </w:p>
    <w:p>
      <w:pPr>
        <w:ind w:left="540"/>
        <w:rPr>
          <w:rFonts w:ascii="黑体" w:eastAsia="黑体"/>
          <w:sz w:val="28"/>
          <w:szCs w:val="28"/>
        </w:rPr>
      </w:pPr>
      <w:r>
        <w:rPr>
          <w:rFonts w:hint="eastAsia" w:ascii="黑体" w:eastAsia="黑体"/>
          <w:sz w:val="28"/>
          <w:szCs w:val="28"/>
        </w:rPr>
        <w:t>三、政府采购支出情况</w:t>
      </w:r>
    </w:p>
    <w:p>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rPr>
        <w:t>0</w:t>
      </w:r>
      <w:r>
        <w:rPr>
          <w:rFonts w:hint="eastAsia" w:ascii="仿宋_GB2312" w:eastAsia="仿宋_GB2312"/>
          <w:sz w:val="28"/>
          <w:szCs w:val="28"/>
        </w:rPr>
        <w:t>万元，占政府采购支出总额的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0万元，占政府采购支出总额的</w:t>
      </w:r>
      <w:r>
        <w:rPr>
          <w:rFonts w:ascii="仿宋_GB2312" w:eastAsia="仿宋_GB2312"/>
          <w:sz w:val="28"/>
          <w:szCs w:val="28"/>
        </w:rPr>
        <w:t>0</w:t>
      </w:r>
      <w:r>
        <w:rPr>
          <w:rFonts w:hint="eastAsia" w:ascii="仿宋_GB2312" w:eastAsia="仿宋_GB2312"/>
          <w:sz w:val="28"/>
          <w:szCs w:val="28"/>
        </w:rPr>
        <w:t>%。</w:t>
      </w:r>
    </w:p>
    <w:p>
      <w:pPr>
        <w:ind w:firstLine="560" w:firstLineChars="200"/>
        <w:rPr>
          <w:rFonts w:ascii="黑体" w:eastAsia="黑体"/>
          <w:sz w:val="28"/>
          <w:szCs w:val="28"/>
          <w:highlight w:val="yellow"/>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截至12月31日，本部门固定资产总额</w:t>
      </w:r>
      <w:r>
        <w:rPr>
          <w:rFonts w:hint="eastAsia" w:ascii="仿宋_GB2312" w:eastAsia="仿宋_GB2312"/>
          <w:sz w:val="28"/>
          <w:szCs w:val="28"/>
          <w:lang w:val="en-US" w:eastAsia="zh-CN"/>
        </w:rPr>
        <w:t>0</w:t>
      </w:r>
      <w:r>
        <w:rPr>
          <w:rFonts w:hint="eastAsia" w:ascii="仿宋_GB2312" w:eastAsia="仿宋_GB2312"/>
          <w:sz w:val="28"/>
          <w:szCs w:val="28"/>
        </w:rPr>
        <w:t>元，其中：汽车（使用各类资金安排的机动车辆，包括机要通信用车、应急保障用车、执法执勤用车、特种专业技术用车以及其他按照规定配备的公务用车）0辆，0万元。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ascii="仿宋_GB2312" w:eastAsia="仿宋_GB2312"/>
          <w:b/>
          <w:color w:val="000000"/>
          <w:spacing w:val="-2"/>
          <w:sz w:val="32"/>
          <w:szCs w:val="32"/>
        </w:rPr>
      </w:pPr>
      <w:r>
        <w:rPr>
          <w:rFonts w:hint="eastAsia" w:ascii="仿宋_GB2312" w:eastAsia="仿宋_GB2312"/>
          <w:b/>
          <w:color w:val="000000"/>
          <w:spacing w:val="-2"/>
          <w:sz w:val="32"/>
          <w:szCs w:val="32"/>
        </w:rPr>
        <w:t>7.各单位需根据自身业务职能，补充当年使用的所有支出功能分类项级科目名词解释，例如：</w:t>
      </w:r>
    </w:p>
    <w:p>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pPr>
        <w:rPr>
          <w:rFonts w:ascii="仿宋_GB2312" w:eastAsia="仿宋_GB2312"/>
          <w:sz w:val="28"/>
          <w:szCs w:val="28"/>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ind w:firstLine="560" w:firstLineChars="200"/>
        <w:rPr>
          <w:rFonts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一、部门整体绩效评价报告（详见附件）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科技服务工作经费</w:t>
      </w:r>
      <w:r>
        <w:rPr>
          <w:rFonts w:hint="eastAsia" w:ascii="黑体" w:eastAsia="黑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0"/>
          <w:szCs w:val="30"/>
          <w:lang w:val="en-US" w:eastAsia="zh-CN"/>
        </w:rPr>
        <w:t>1、技术合同认定登记量持续提升。</w:t>
      </w:r>
      <w:r>
        <w:rPr>
          <w:rFonts w:hint="eastAsia" w:ascii="仿宋" w:hAnsi="仿宋" w:eastAsia="仿宋" w:cs="仿宋"/>
          <w:b w:val="0"/>
          <w:bCs w:val="0"/>
          <w:sz w:val="32"/>
          <w:szCs w:val="32"/>
          <w:lang w:val="en-US" w:eastAsia="zh-CN"/>
        </w:rPr>
        <w:t>2024年1-12月，我委技术合同登记处受理技术合同1203件次，提供电话咨询服务727人次，技术合同认定登记系统新注册企事业单位52家。共认定登记技术合同644份，成交额23.19亿元。共确认技术性收入核定表118份，实现合同总额1.9亿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0"/>
          <w:szCs w:val="30"/>
          <w:lang w:val="en-US" w:eastAsia="zh-CN"/>
        </w:rPr>
        <w:t>2、科技型中小企业评价申报情况</w:t>
      </w:r>
      <w:r>
        <w:rPr>
          <w:rFonts w:hint="eastAsia" w:ascii="仿宋" w:hAnsi="仿宋" w:eastAsia="仿宋" w:cs="仿宋"/>
          <w:b w:val="0"/>
          <w:bCs w:val="0"/>
          <w:sz w:val="32"/>
          <w:szCs w:val="32"/>
          <w:lang w:val="en-US" w:eastAsia="zh-CN"/>
        </w:rPr>
        <w:t>。今年全区共有368家企业申报，其中高新技术企业267 ；已入库企业 341家，实地走访及信息核查23家；2024年度科技型中小企业评价系统内新注册企业75家，目前，系统内累计注册企业1219家。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3、企业融资服务效果显著。截止到2024年9月末，北京中关村科技融资担保公司为西城区132家企业提供了214项融资担保，担保金额共计68636万元，其中科技及现代服务业企业95家共计150项，担保金额56536万元。</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pPr>
        <w:ind w:firstLine="560" w:firstLineChars="200"/>
        <w:rPr>
          <w:rFonts w:ascii="黑体" w:eastAsia="黑体"/>
          <w:sz w:val="28"/>
          <w:szCs w:val="28"/>
        </w:rPr>
      </w:pPr>
      <w:r>
        <w:rPr>
          <w:rFonts w:hint="eastAsia" w:ascii="黑体" w:eastAsia="黑体"/>
          <w:sz w:val="28"/>
          <w:szCs w:val="28"/>
        </w:rPr>
        <w:t>四、中央对北京XX转移支付预算执行情况绩效自评报告（详见附件）</w:t>
      </w:r>
    </w:p>
    <w:p>
      <w:pPr>
        <w:spacing w:line="480" w:lineRule="exact"/>
        <w:ind w:firstLine="560"/>
      </w:pPr>
      <w:r>
        <w:rPr>
          <w:rFonts w:hint="eastAsia" w:ascii="黑体" w:eastAsia="黑体"/>
          <w:sz w:val="28"/>
          <w:szCs w:val="28"/>
        </w:rPr>
        <w:t>（注：有中央转移支付的一级预算部门，公开“一、二、三、四”；没有中央转移支付的一级预算部门，公开“一、二、三”；二级预算单位仅公开“三”。）</w:t>
      </w:r>
    </w:p>
    <w:p/>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CB7D"/>
    <w:multiLevelType w:val="singleLevel"/>
    <w:tmpl w:val="2673CB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480"/>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5FD536C"/>
    <w:rsid w:val="079004AC"/>
    <w:rsid w:val="082E3D4B"/>
    <w:rsid w:val="0BA148CA"/>
    <w:rsid w:val="0C1165C4"/>
    <w:rsid w:val="0CC0502E"/>
    <w:rsid w:val="0D2A7829"/>
    <w:rsid w:val="0DD136FE"/>
    <w:rsid w:val="0E2F65A9"/>
    <w:rsid w:val="0EBD12B2"/>
    <w:rsid w:val="0F8E2C57"/>
    <w:rsid w:val="1059665E"/>
    <w:rsid w:val="10AC13BA"/>
    <w:rsid w:val="145A6C1B"/>
    <w:rsid w:val="167A2FF9"/>
    <w:rsid w:val="168D146D"/>
    <w:rsid w:val="19484785"/>
    <w:rsid w:val="1A0D68B2"/>
    <w:rsid w:val="1AEC0734"/>
    <w:rsid w:val="1B9F46FF"/>
    <w:rsid w:val="1D842330"/>
    <w:rsid w:val="1DEF20B0"/>
    <w:rsid w:val="1F00254C"/>
    <w:rsid w:val="1FE20C44"/>
    <w:rsid w:val="214243FA"/>
    <w:rsid w:val="21AD613C"/>
    <w:rsid w:val="257A14F5"/>
    <w:rsid w:val="27196C26"/>
    <w:rsid w:val="281624F5"/>
    <w:rsid w:val="29EF086F"/>
    <w:rsid w:val="2EBD2FBF"/>
    <w:rsid w:val="2EFFE297"/>
    <w:rsid w:val="301437CA"/>
    <w:rsid w:val="31BC4496"/>
    <w:rsid w:val="349D1F0A"/>
    <w:rsid w:val="34DD0473"/>
    <w:rsid w:val="374B5524"/>
    <w:rsid w:val="382002D6"/>
    <w:rsid w:val="397175B3"/>
    <w:rsid w:val="3C684897"/>
    <w:rsid w:val="3DE52249"/>
    <w:rsid w:val="3FC11A04"/>
    <w:rsid w:val="406B0963"/>
    <w:rsid w:val="433E495C"/>
    <w:rsid w:val="47AD7F49"/>
    <w:rsid w:val="489F2FD7"/>
    <w:rsid w:val="4AC27CB3"/>
    <w:rsid w:val="4BF72BEF"/>
    <w:rsid w:val="4C7C4EDB"/>
    <w:rsid w:val="4FA90297"/>
    <w:rsid w:val="4FAC2FC2"/>
    <w:rsid w:val="4FC41A43"/>
    <w:rsid w:val="5153441B"/>
    <w:rsid w:val="5155043D"/>
    <w:rsid w:val="51DB3C59"/>
    <w:rsid w:val="550C0952"/>
    <w:rsid w:val="55762E42"/>
    <w:rsid w:val="57A7B272"/>
    <w:rsid w:val="58470068"/>
    <w:rsid w:val="58747CAC"/>
    <w:rsid w:val="5A0F1543"/>
    <w:rsid w:val="5A1720F9"/>
    <w:rsid w:val="5B9C37C2"/>
    <w:rsid w:val="5BA7C654"/>
    <w:rsid w:val="5E0A41DC"/>
    <w:rsid w:val="5EED4FCD"/>
    <w:rsid w:val="60A54109"/>
    <w:rsid w:val="61D01CDF"/>
    <w:rsid w:val="63756108"/>
    <w:rsid w:val="64BA4D9A"/>
    <w:rsid w:val="64C0607C"/>
    <w:rsid w:val="65756C86"/>
    <w:rsid w:val="674D385B"/>
    <w:rsid w:val="676F09E1"/>
    <w:rsid w:val="6B486C48"/>
    <w:rsid w:val="794333DA"/>
    <w:rsid w:val="798524E4"/>
    <w:rsid w:val="7A695F86"/>
    <w:rsid w:val="7A7F1C49"/>
    <w:rsid w:val="7B5B7AE6"/>
    <w:rsid w:val="7B7B6628"/>
    <w:rsid w:val="7BA7071E"/>
    <w:rsid w:val="7BDF6DA8"/>
    <w:rsid w:val="7C7EDC1A"/>
    <w:rsid w:val="7CCED98D"/>
    <w:rsid w:val="7D08410F"/>
    <w:rsid w:val="7DB96DED"/>
    <w:rsid w:val="7DD3AD81"/>
    <w:rsid w:val="7DF70F86"/>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287.92</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285.39</c:v>
                </c:pt>
                <c:pt idx="1">
                  <c:v>2.53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3819</Words>
  <Characters>6444</Characters>
  <Lines>44</Lines>
  <Paragraphs>12</Paragraphs>
  <TotalTime>1</TotalTime>
  <ScaleCrop>false</ScaleCrop>
  <LinksUpToDate>false</LinksUpToDate>
  <CharactersWithSpaces>6463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dell</cp:lastModifiedBy>
  <cp:lastPrinted>2020-08-07T11:39:00Z</cp:lastPrinted>
  <dcterms:modified xsi:type="dcterms:W3CDTF">2025-08-27T02:51:53Z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