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31590">
      <w:pPr>
        <w:jc w:val="center"/>
        <w:rPr>
          <w:rFonts w:hint="eastAsia" w:ascii="仿宋_GB2312" w:eastAsia="仿宋_GB2312"/>
          <w:b/>
          <w:sz w:val="32"/>
          <w:szCs w:val="32"/>
          <w:lang w:val="en-US" w:eastAsia="zh-CN"/>
        </w:rPr>
      </w:pPr>
      <w:r>
        <w:rPr>
          <w:rFonts w:hint="eastAsia" w:ascii="仿宋_GB2312" w:eastAsia="仿宋_GB2312"/>
          <w:b/>
          <w:sz w:val="32"/>
          <w:szCs w:val="32"/>
          <w:lang w:val="en-US" w:eastAsia="zh-CN"/>
        </w:rPr>
        <w:t xml:space="preserve"> </w:t>
      </w:r>
    </w:p>
    <w:p w14:paraId="2A1A4A86">
      <w:pPr>
        <w:jc w:val="center"/>
        <w:rPr>
          <w:rFonts w:ascii="黑体" w:eastAsia="黑体"/>
          <w:sz w:val="72"/>
          <w:szCs w:val="72"/>
        </w:rPr>
      </w:pPr>
    </w:p>
    <w:p w14:paraId="66A17F97">
      <w:pPr>
        <w:jc w:val="center"/>
        <w:rPr>
          <w:rFonts w:ascii="黑体" w:eastAsia="黑体"/>
          <w:sz w:val="72"/>
          <w:szCs w:val="72"/>
        </w:rPr>
      </w:pPr>
    </w:p>
    <w:p w14:paraId="661AFDD2">
      <w:pPr>
        <w:jc w:val="center"/>
        <w:rPr>
          <w:rFonts w:ascii="黑体" w:eastAsia="黑体"/>
          <w:sz w:val="72"/>
          <w:szCs w:val="72"/>
        </w:rPr>
      </w:pPr>
    </w:p>
    <w:p w14:paraId="45B70A9B">
      <w:pPr>
        <w:jc w:val="center"/>
        <w:rPr>
          <w:rFonts w:ascii="黑体" w:eastAsia="黑体"/>
          <w:sz w:val="72"/>
          <w:szCs w:val="72"/>
        </w:rPr>
      </w:pPr>
    </w:p>
    <w:p w14:paraId="5333AF87">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5045D997">
      <w:pPr>
        <w:jc w:val="center"/>
        <w:rPr>
          <w:rFonts w:ascii="黑体" w:eastAsia="黑体"/>
          <w:sz w:val="52"/>
          <w:szCs w:val="52"/>
        </w:rPr>
      </w:pPr>
    </w:p>
    <w:p w14:paraId="63EFE788">
      <w:pPr>
        <w:jc w:val="center"/>
        <w:rPr>
          <w:rFonts w:ascii="黑体" w:eastAsia="黑体"/>
          <w:sz w:val="52"/>
          <w:szCs w:val="52"/>
        </w:rPr>
      </w:pPr>
    </w:p>
    <w:p w14:paraId="2658644F">
      <w:pPr>
        <w:jc w:val="center"/>
        <w:rPr>
          <w:rFonts w:ascii="黑体" w:eastAsia="黑体"/>
          <w:sz w:val="52"/>
          <w:szCs w:val="52"/>
        </w:rPr>
      </w:pPr>
    </w:p>
    <w:p w14:paraId="62E4577F">
      <w:pPr>
        <w:jc w:val="center"/>
        <w:rPr>
          <w:rFonts w:ascii="黑体" w:eastAsia="黑体"/>
          <w:sz w:val="52"/>
          <w:szCs w:val="52"/>
        </w:rPr>
      </w:pPr>
    </w:p>
    <w:p w14:paraId="5E061513">
      <w:pPr>
        <w:jc w:val="center"/>
        <w:rPr>
          <w:rFonts w:ascii="黑体" w:eastAsia="黑体"/>
          <w:sz w:val="32"/>
          <w:szCs w:val="32"/>
        </w:rPr>
      </w:pPr>
    </w:p>
    <w:p w14:paraId="3CB543AA">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74756F14">
      <w:pPr>
        <w:spacing w:line="500" w:lineRule="exact"/>
        <w:ind w:firstLine="645"/>
        <w:jc w:val="center"/>
        <w:rPr>
          <w:rFonts w:hint="eastAsia" w:ascii="宋体" w:hAnsi="宋体" w:cs="宋体"/>
          <w:b/>
          <w:bCs/>
          <w:kern w:val="0"/>
          <w:sz w:val="36"/>
          <w:szCs w:val="36"/>
        </w:rPr>
      </w:pPr>
    </w:p>
    <w:p w14:paraId="4271EBF6">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319ABA7B">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5C851A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21434D5F">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429754F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00C7609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5C547F1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25EF999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01C16F84">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586E46C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4523D9E5">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4A6148A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5E1FDA2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1FCA9416">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6230E1F9">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6DDBEFAB">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7F7C9722">
      <w:pPr>
        <w:tabs>
          <w:tab w:val="center" w:pos="6979"/>
        </w:tabs>
        <w:spacing w:before="156" w:beforeLines="50" w:after="156" w:afterLines="50"/>
        <w:jc w:val="center"/>
        <w:rPr>
          <w:rFonts w:ascii="宋体" w:hAnsi="宋体" w:cs="宋体"/>
          <w:b/>
          <w:bCs/>
          <w:spacing w:val="40"/>
          <w:kern w:val="0"/>
          <w:sz w:val="32"/>
          <w:szCs w:val="32"/>
        </w:rPr>
      </w:pPr>
    </w:p>
    <w:p w14:paraId="6A2A7DC0">
      <w:pPr>
        <w:tabs>
          <w:tab w:val="center" w:pos="6979"/>
        </w:tabs>
        <w:spacing w:before="156" w:beforeLines="50" w:after="156" w:afterLines="50"/>
        <w:jc w:val="center"/>
        <w:rPr>
          <w:rFonts w:ascii="宋体" w:hAnsi="宋体" w:cs="宋体"/>
          <w:b/>
          <w:bCs/>
          <w:spacing w:val="40"/>
          <w:kern w:val="0"/>
          <w:sz w:val="32"/>
          <w:szCs w:val="32"/>
        </w:rPr>
      </w:pPr>
    </w:p>
    <w:p w14:paraId="01BFB8F0">
      <w:pPr>
        <w:tabs>
          <w:tab w:val="center" w:pos="6979"/>
        </w:tabs>
        <w:spacing w:before="156" w:beforeLines="50" w:after="156" w:afterLines="50"/>
        <w:jc w:val="center"/>
        <w:rPr>
          <w:rFonts w:ascii="宋体" w:hAnsi="宋体" w:cs="宋体"/>
          <w:b/>
          <w:bCs/>
          <w:spacing w:val="40"/>
          <w:kern w:val="0"/>
          <w:sz w:val="32"/>
          <w:szCs w:val="32"/>
        </w:rPr>
      </w:pPr>
    </w:p>
    <w:p w14:paraId="34B1663D">
      <w:pPr>
        <w:tabs>
          <w:tab w:val="center" w:pos="6979"/>
        </w:tabs>
        <w:spacing w:before="156" w:beforeLines="50" w:after="156" w:afterLines="50"/>
        <w:jc w:val="center"/>
        <w:rPr>
          <w:rFonts w:ascii="宋体" w:hAnsi="宋体" w:cs="宋体"/>
          <w:b/>
          <w:bCs/>
          <w:spacing w:val="40"/>
          <w:kern w:val="0"/>
          <w:sz w:val="32"/>
          <w:szCs w:val="32"/>
        </w:rPr>
      </w:pPr>
    </w:p>
    <w:p w14:paraId="1C4E623B">
      <w:pPr>
        <w:tabs>
          <w:tab w:val="center" w:pos="6979"/>
        </w:tabs>
        <w:spacing w:before="156" w:beforeLines="50" w:after="156" w:afterLines="50"/>
        <w:jc w:val="center"/>
        <w:rPr>
          <w:rFonts w:ascii="宋体" w:hAnsi="宋体" w:cs="宋体"/>
          <w:b/>
          <w:bCs/>
          <w:spacing w:val="40"/>
          <w:kern w:val="0"/>
          <w:sz w:val="32"/>
          <w:szCs w:val="32"/>
        </w:rPr>
      </w:pPr>
    </w:p>
    <w:p w14:paraId="2B34A544">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1A3C3CBE">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556BCB3B">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60CF76CB">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14:paraId="4EFB5559">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14:paraId="350E5428">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北京德源兴业投资管理集团有限公司围绕推动城市居住环境改善，着眼于古都风貌保护、老城复建和服务品质提升，拓宽生存与发展的新渠道，努力构建一个以直管公房管理为基础、以综合性物业管理服务和老城复建为支撑、以综合服务业为补充的“三轮驱动”发展格局，着力将新企业打造成为立足北京、服务西城的和谐宜居示范区的综合服务运营商。</w:t>
      </w:r>
    </w:p>
    <w:p w14:paraId="7E1291CE">
      <w:pPr>
        <w:tabs>
          <w:tab w:val="center" w:pos="6979"/>
        </w:tabs>
        <w:spacing w:line="580" w:lineRule="exact"/>
        <w:ind w:firstLine="570"/>
        <w:rPr>
          <w:highlight w:val="yellow"/>
        </w:rPr>
      </w:pPr>
      <w:r>
        <w:rPr>
          <w:rFonts w:hint="eastAsia" w:ascii="仿宋_GB2312" w:eastAsia="仿宋_GB2312"/>
          <w:sz w:val="28"/>
          <w:szCs w:val="28"/>
        </w:rPr>
        <w:t>集团目前总部设立13个职能部室，集团董事会下设董事监事办公室，管理层下设8个职能部室，即财务管理部、集团办公室、计划管理部、人力资源部、房屋管理部、工程管理部、安全管理部、信访办公室，党委下调4个部室，即党委工作部、纪检监督部、工会办公室、内控审计部。</w:t>
      </w:r>
      <w:r>
        <w:drawing>
          <wp:anchor distT="0" distB="0" distL="114300" distR="114300" simplePos="0" relativeHeight="251659264" behindDoc="0" locked="0" layoutInCell="1" allowOverlap="1">
            <wp:simplePos x="0" y="0"/>
            <wp:positionH relativeFrom="margin">
              <wp:posOffset>1162050</wp:posOffset>
            </wp:positionH>
            <wp:positionV relativeFrom="paragraph">
              <wp:posOffset>6505575</wp:posOffset>
            </wp:positionV>
            <wp:extent cx="5274310" cy="3024505"/>
            <wp:effectExtent l="0" t="0" r="0" b="4445"/>
            <wp:wrapNone/>
            <wp:docPr id="2" name="图片 2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wps"/>
                    <pic:cNvPicPr>
                      <a:picLocks noChangeAspect="1"/>
                    </pic:cNvPicPr>
                  </pic:nvPicPr>
                  <pic:blipFill>
                    <a:blip r:embed="rId7"/>
                    <a:srcRect l="4309" t="6763" b="4259"/>
                    <a:stretch>
                      <a:fillRect/>
                    </a:stretch>
                  </pic:blipFill>
                  <pic:spPr>
                    <a:xfrm>
                      <a:off x="0" y="0"/>
                      <a:ext cx="5274310" cy="3024505"/>
                    </a:xfrm>
                    <a:prstGeom prst="rect">
                      <a:avLst/>
                    </a:prstGeom>
                    <a:noFill/>
                    <a:ln>
                      <a:noFill/>
                    </a:ln>
                  </pic:spPr>
                </pic:pic>
              </a:graphicData>
            </a:graphic>
          </wp:anchor>
        </w:drawing>
      </w:r>
      <w:r>
        <w:rPr>
          <w:rFonts w:hint="eastAsia" w:ascii="仿宋_GB2312" w:eastAsia="仿宋_GB2312"/>
          <w:sz w:val="28"/>
          <w:szCs w:val="28"/>
        </w:rPr>
        <w:t xml:space="preserve"> </w:t>
      </w:r>
      <w:r>
        <w:drawing>
          <wp:anchor distT="0" distB="0" distL="114300" distR="114300" simplePos="0" relativeHeight="251660288" behindDoc="0" locked="0" layoutInCell="1" allowOverlap="1">
            <wp:simplePos x="0" y="0"/>
            <wp:positionH relativeFrom="margin">
              <wp:posOffset>1314450</wp:posOffset>
            </wp:positionH>
            <wp:positionV relativeFrom="paragraph">
              <wp:posOffset>6657975</wp:posOffset>
            </wp:positionV>
            <wp:extent cx="5274310" cy="3024505"/>
            <wp:effectExtent l="0" t="0" r="0" b="4445"/>
            <wp:wrapNone/>
            <wp:docPr id="4" name="图片 2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wps"/>
                    <pic:cNvPicPr>
                      <a:picLocks noChangeAspect="1"/>
                    </pic:cNvPicPr>
                  </pic:nvPicPr>
                  <pic:blipFill>
                    <a:blip r:embed="rId7"/>
                    <a:srcRect l="4309" t="6763" b="4259"/>
                    <a:stretch>
                      <a:fillRect/>
                    </a:stretch>
                  </pic:blipFill>
                  <pic:spPr>
                    <a:xfrm>
                      <a:off x="0" y="0"/>
                      <a:ext cx="5274310" cy="3024505"/>
                    </a:xfrm>
                    <a:prstGeom prst="rect">
                      <a:avLst/>
                    </a:prstGeom>
                    <a:noFill/>
                    <a:ln>
                      <a:noFill/>
                    </a:ln>
                  </pic:spPr>
                </pic:pic>
              </a:graphicData>
            </a:graphic>
          </wp:anchor>
        </w:drawing>
      </w:r>
    </w:p>
    <w:p w14:paraId="1C0DB5C7">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5D9A19A4">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eastAsia="zh-CN"/>
        </w:rPr>
        <w:t>17441.389817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21584.290183</w:t>
      </w:r>
      <w:r>
        <w:rPr>
          <w:rFonts w:hint="eastAsia" w:ascii="仿宋_GB2312" w:eastAsia="仿宋_GB2312"/>
          <w:sz w:val="28"/>
          <w:szCs w:val="28"/>
        </w:rPr>
        <w:t>万元，下降</w:t>
      </w:r>
      <w:r>
        <w:rPr>
          <w:rFonts w:hint="eastAsia" w:ascii="仿宋_GB2312" w:eastAsia="仿宋_GB2312"/>
          <w:sz w:val="28"/>
          <w:szCs w:val="28"/>
          <w:lang w:val="en-US" w:eastAsia="zh-CN"/>
        </w:rPr>
        <w:t>55.31</w:t>
      </w:r>
      <w:r>
        <w:rPr>
          <w:rFonts w:hint="eastAsia" w:ascii="仿宋_GB2312" w:eastAsia="仿宋_GB2312"/>
          <w:sz w:val="28"/>
          <w:szCs w:val="28"/>
        </w:rPr>
        <w:t>%。</w:t>
      </w:r>
    </w:p>
    <w:p w14:paraId="432B6950">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5B1FCFCC">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hint="eastAsia" w:ascii="仿宋_GB2312" w:eastAsia="仿宋_GB2312"/>
          <w:sz w:val="28"/>
          <w:szCs w:val="28"/>
          <w:lang w:eastAsia="zh-CN"/>
        </w:rPr>
        <w:t>17441.389817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21584.290183</w:t>
      </w:r>
      <w:r>
        <w:rPr>
          <w:rFonts w:hint="eastAsia" w:ascii="仿宋_GB2312" w:eastAsia="仿宋_GB2312"/>
          <w:sz w:val="28"/>
          <w:szCs w:val="28"/>
        </w:rPr>
        <w:t>万元，下降</w:t>
      </w:r>
      <w:r>
        <w:rPr>
          <w:rFonts w:hint="eastAsia" w:ascii="仿宋_GB2312" w:eastAsia="仿宋_GB2312"/>
          <w:sz w:val="28"/>
          <w:szCs w:val="28"/>
          <w:lang w:val="en-US" w:eastAsia="zh-CN"/>
        </w:rPr>
        <w:t>55.31</w:t>
      </w:r>
      <w:r>
        <w:rPr>
          <w:rFonts w:hint="eastAsia" w:ascii="仿宋_GB2312" w:eastAsia="仿宋_GB2312"/>
          <w:sz w:val="28"/>
          <w:szCs w:val="28"/>
        </w:rPr>
        <w:t>%。</w:t>
      </w:r>
    </w:p>
    <w:p w14:paraId="6337E13C">
      <w:pPr>
        <w:tabs>
          <w:tab w:val="center" w:pos="6979"/>
        </w:tabs>
        <w:spacing w:line="580" w:lineRule="exact"/>
        <w:ind w:firstLine="560" w:firstLineChars="200"/>
      </w:pPr>
      <w:r>
        <w:rPr>
          <w:rFonts w:hint="eastAsia" w:ascii="仿宋_GB2312" w:eastAsia="仿宋_GB2312"/>
          <w:sz w:val="28"/>
          <w:szCs w:val="28"/>
        </w:rPr>
        <w:t>1.财政拨款收入</w:t>
      </w:r>
      <w:r>
        <w:rPr>
          <w:rFonts w:hint="eastAsia" w:ascii="仿宋_GB2312" w:eastAsia="仿宋_GB2312"/>
          <w:sz w:val="28"/>
          <w:szCs w:val="28"/>
          <w:lang w:eastAsia="zh-CN"/>
        </w:rPr>
        <w:t>17441.389817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hint="eastAsia" w:ascii="仿宋_GB2312" w:eastAsia="仿宋_GB2312"/>
          <w:sz w:val="28"/>
          <w:szCs w:val="28"/>
          <w:lang w:eastAsia="zh-CN"/>
        </w:rPr>
        <w:t>17441.389817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3A902263">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832314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0580D99">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4BC9E8D4">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14490D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2C42F04">
      <w:pPr>
        <w:pStyle w:val="3"/>
        <w:ind w:firstLine="0"/>
        <w:jc w:val="center"/>
      </w:pPr>
      <w:r>
        <w:rPr>
          <w:rFonts w:hint="eastAsia" w:ascii="仿宋_GB2312" w:eastAsia="仿宋_GB2312"/>
          <w:color w:val="000000"/>
          <w:sz w:val="32"/>
          <w:szCs w:val="32"/>
          <w:highlight w:val="none"/>
          <w:lang w:val="en-US" w:eastAsia="zh-CN"/>
        </w:rPr>
        <w:t>图1：收入预算</w:t>
      </w:r>
    </w:p>
    <w:p w14:paraId="03F3DDAA">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1DA370">
      <w:pPr>
        <w:tabs>
          <w:tab w:val="center" w:pos="6979"/>
        </w:tabs>
        <w:spacing w:line="580" w:lineRule="exact"/>
        <w:ind w:firstLine="570"/>
        <w:rPr>
          <w:rFonts w:hint="eastAsia" w:ascii="仿宋_GB2312" w:eastAsia="仿宋_GB2312"/>
          <w:sz w:val="28"/>
          <w:szCs w:val="28"/>
        </w:rPr>
      </w:pPr>
    </w:p>
    <w:p w14:paraId="38A3BCEC">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5EE35962">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w:t>
      </w:r>
      <w:r>
        <w:rPr>
          <w:rFonts w:hint="eastAsia" w:ascii="仿宋_GB2312" w:eastAsia="仿宋_GB2312"/>
          <w:sz w:val="28"/>
          <w:szCs w:val="28"/>
          <w:lang w:val="en-US" w:eastAsia="zh-CN"/>
        </w:rPr>
        <w:t>本年支出合</w:t>
      </w:r>
      <w:r>
        <w:rPr>
          <w:rFonts w:hint="eastAsia" w:ascii="仿宋_GB2312" w:eastAsia="仿宋_GB2312"/>
          <w:sz w:val="28"/>
          <w:szCs w:val="28"/>
        </w:rPr>
        <w:t>计</w:t>
      </w:r>
      <w:r>
        <w:rPr>
          <w:rFonts w:hint="eastAsia" w:ascii="仿宋_GB2312" w:eastAsia="仿宋_GB2312"/>
          <w:sz w:val="28"/>
          <w:szCs w:val="28"/>
          <w:lang w:eastAsia="zh-CN"/>
        </w:rPr>
        <w:t>17441.389817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21584.290183</w:t>
      </w:r>
      <w:r>
        <w:rPr>
          <w:rFonts w:hint="eastAsia" w:ascii="仿宋_GB2312" w:eastAsia="仿宋_GB2312"/>
          <w:sz w:val="28"/>
          <w:szCs w:val="28"/>
        </w:rPr>
        <w:t>万元，下降</w:t>
      </w:r>
      <w:r>
        <w:rPr>
          <w:rFonts w:hint="eastAsia" w:ascii="仿宋_GB2312" w:eastAsia="仿宋_GB2312"/>
          <w:sz w:val="28"/>
          <w:szCs w:val="28"/>
          <w:lang w:val="en-US" w:eastAsia="zh-CN"/>
        </w:rPr>
        <w:t>55.31</w:t>
      </w:r>
      <w:r>
        <w:rPr>
          <w:rFonts w:hint="eastAsia" w:ascii="仿宋_GB2312" w:eastAsia="仿宋_GB2312"/>
          <w:sz w:val="28"/>
          <w:szCs w:val="28"/>
        </w:rPr>
        <w:t>%，其中：基本支出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%；项目支出</w:t>
      </w:r>
      <w:r>
        <w:rPr>
          <w:rFonts w:hint="eastAsia" w:ascii="仿宋_GB2312" w:eastAsia="仿宋_GB2312"/>
          <w:sz w:val="28"/>
          <w:szCs w:val="28"/>
          <w:lang w:eastAsia="zh-CN"/>
        </w:rPr>
        <w:t>17441.389817</w:t>
      </w:r>
      <w:r>
        <w:rPr>
          <w:rFonts w:hint="eastAsia" w:ascii="仿宋_GB2312" w:eastAsia="仿宋_GB2312"/>
          <w:sz w:val="28"/>
          <w:szCs w:val="28"/>
        </w:rPr>
        <w:t>万元，占支出合计的</w:t>
      </w:r>
      <w:r>
        <w:rPr>
          <w:rFonts w:hint="eastAsia" w:ascii="仿宋_GB2312" w:eastAsia="仿宋_GB2312"/>
          <w:sz w:val="28"/>
          <w:szCs w:val="28"/>
          <w:lang w:eastAsia="zh-CN"/>
        </w:rPr>
        <w:t>100</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14:paraId="631DA7D8">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3557205B">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771274">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08CD73FD">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sz w:val="28"/>
          <w:szCs w:val="28"/>
          <w:lang w:eastAsia="zh-CN"/>
        </w:rPr>
        <w:t>17441.389817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21584.290183</w:t>
      </w:r>
      <w:r>
        <w:rPr>
          <w:rFonts w:hint="eastAsia" w:ascii="仿宋_GB2312" w:eastAsia="仿宋_GB2312"/>
          <w:sz w:val="28"/>
          <w:szCs w:val="28"/>
        </w:rPr>
        <w:t>万元，下降</w:t>
      </w:r>
      <w:r>
        <w:rPr>
          <w:rFonts w:hint="eastAsia" w:ascii="仿宋_GB2312" w:eastAsia="仿宋_GB2312"/>
          <w:sz w:val="28"/>
          <w:szCs w:val="28"/>
          <w:lang w:val="en-US" w:eastAsia="zh-CN"/>
        </w:rPr>
        <w:t>55.31</w:t>
      </w:r>
      <w:r>
        <w:rPr>
          <w:rFonts w:hint="eastAsia" w:ascii="仿宋_GB2312" w:eastAsia="仿宋_GB2312"/>
          <w:sz w:val="28"/>
          <w:szCs w:val="28"/>
        </w:rPr>
        <w:t>%。主要原因：</w:t>
      </w:r>
      <w:r>
        <w:rPr>
          <w:rFonts w:hint="eastAsia" w:ascii="仿宋_GB2312" w:eastAsia="仿宋_GB2312"/>
          <w:sz w:val="28"/>
          <w:szCs w:val="28"/>
          <w:lang w:val="en-US" w:eastAsia="zh-CN"/>
        </w:rPr>
        <w:t>减少项目，主要项目包括</w:t>
      </w:r>
      <w:r>
        <w:rPr>
          <w:rFonts w:hint="eastAsia" w:ascii="仿宋_GB2312" w:eastAsia="仿宋_GB2312"/>
          <w:sz w:val="28"/>
          <w:szCs w:val="28"/>
        </w:rPr>
        <w:t>：西城区五栋简易楼腾退建设公益性设施项目、西城区（北区）七栋简易楼腾退建设公益性设施项目（2023）、鼓西大街整理与复兴计划。</w:t>
      </w:r>
    </w:p>
    <w:p w14:paraId="54F4932D">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60F13F3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14:paraId="02840832">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17441.389817</w:t>
      </w:r>
      <w:r>
        <w:rPr>
          <w:rFonts w:hint="eastAsia" w:ascii="仿宋_GB2312" w:eastAsia="仿宋_GB2312"/>
          <w:sz w:val="28"/>
          <w:szCs w:val="28"/>
        </w:rPr>
        <w:t>万元，主要用于以下方面（按大类）：城乡社区支出</w:t>
      </w:r>
      <w:r>
        <w:rPr>
          <w:rFonts w:hint="eastAsia" w:ascii="仿宋_GB2312" w:eastAsia="仿宋_GB2312"/>
          <w:sz w:val="28"/>
          <w:szCs w:val="28"/>
          <w:lang w:val="en-US" w:eastAsia="zh-CN"/>
        </w:rPr>
        <w:t>17441.389817</w:t>
      </w:r>
      <w:r>
        <w:rPr>
          <w:rFonts w:hint="eastAsia" w:ascii="仿宋_GB2312" w:eastAsia="仿宋_GB2312"/>
          <w:sz w:val="28"/>
          <w:szCs w:val="28"/>
        </w:rPr>
        <w:t>万元，占本年财政拨款支出100%。</w:t>
      </w:r>
    </w:p>
    <w:p w14:paraId="2CC82171">
      <w:pPr>
        <w:numPr>
          <w:ilvl w:val="0"/>
          <w:numId w:val="1"/>
        </w:num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一般公共预算财政拨款支出决算具体情况</w:t>
      </w:r>
    </w:p>
    <w:p w14:paraId="2624952F">
      <w:pPr>
        <w:autoSpaceDE w:val="0"/>
        <w:autoSpaceDN w:val="0"/>
        <w:adjustRightInd w:val="0"/>
        <w:spacing w:line="5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val="en-US" w:eastAsia="zh-CN"/>
        </w:rPr>
        <w:t>本单位无</w:t>
      </w:r>
      <w:r>
        <w:rPr>
          <w:rFonts w:hint="eastAsia" w:ascii="仿宋_GB2312" w:eastAsia="仿宋_GB2312"/>
          <w:sz w:val="28"/>
          <w:szCs w:val="28"/>
        </w:rPr>
        <w:t>“一般公共服务支出”</w:t>
      </w:r>
      <w:r>
        <w:rPr>
          <w:rFonts w:hint="eastAsia" w:ascii="仿宋_GB2312" w:eastAsia="仿宋_GB2312"/>
          <w:sz w:val="28"/>
          <w:szCs w:val="28"/>
          <w:lang w:eastAsia="zh-CN"/>
        </w:rPr>
        <w:t>（</w:t>
      </w:r>
      <w:r>
        <w:rPr>
          <w:rFonts w:hint="eastAsia" w:ascii="仿宋_GB2312" w:eastAsia="仿宋_GB2312"/>
          <w:sz w:val="28"/>
          <w:szCs w:val="28"/>
          <w:lang w:val="en-US" w:eastAsia="zh-CN"/>
        </w:rPr>
        <w:t>类</w:t>
      </w:r>
      <w:r>
        <w:rPr>
          <w:rFonts w:hint="eastAsia" w:ascii="仿宋_GB2312" w:eastAsia="仿宋_GB2312"/>
          <w:sz w:val="28"/>
          <w:szCs w:val="28"/>
          <w:lang w:eastAsia="zh-CN"/>
        </w:rPr>
        <w:t>）</w:t>
      </w:r>
    </w:p>
    <w:p w14:paraId="79F2766D">
      <w:pPr>
        <w:spacing w:line="580" w:lineRule="exact"/>
        <w:ind w:firstLine="560" w:firstLineChars="200"/>
        <w:rPr>
          <w:rFonts w:hint="eastAsia" w:ascii="Calibri" w:hAnsi="Calibri" w:eastAsia="仿宋_GB2312" w:cs="Calibri"/>
          <w:sz w:val="28"/>
          <w:szCs w:val="28"/>
          <w:lang w:val="en-US" w:eastAsia="zh-CN"/>
        </w:rPr>
      </w:pPr>
      <w:r>
        <w:rPr>
          <w:rFonts w:hint="eastAsia" w:ascii="仿宋_GB2312" w:eastAsia="仿宋_GB2312"/>
          <w:sz w:val="28"/>
          <w:szCs w:val="28"/>
        </w:rPr>
        <w:t>2、“城乡社区支出”(类)202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18477.945483</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17441.389817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94.39</w:t>
      </w:r>
      <w:r>
        <w:rPr>
          <w:rFonts w:hint="eastAsia" w:ascii="仿宋_GB2312" w:eastAsia="仿宋_GB2312"/>
          <w:sz w:val="28"/>
          <w:szCs w:val="28"/>
        </w:rPr>
        <w:t>%。其中：</w:t>
      </w:r>
      <w:r>
        <w:rPr>
          <w:rFonts w:hint="eastAsia" w:ascii="仿宋_GB2312" w:eastAsia="仿宋_GB2312"/>
          <w:sz w:val="28"/>
          <w:szCs w:val="28"/>
          <w:lang w:eastAsia="zh-CN"/>
        </w:rPr>
        <w:t>“</w:t>
      </w:r>
      <w:r>
        <w:rPr>
          <w:rFonts w:hint="eastAsia" w:ascii="仿宋_GB2312" w:eastAsia="仿宋_GB2312"/>
          <w:sz w:val="28"/>
          <w:szCs w:val="28"/>
        </w:rPr>
        <w:t>其他城乡社区公共设施支出</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年度年初预算1033.52万元，202</w:t>
      </w:r>
      <w:r>
        <w:rPr>
          <w:rFonts w:hint="eastAsia" w:ascii="仿宋_GB2312" w:eastAsia="仿宋_GB2312"/>
          <w:sz w:val="28"/>
          <w:szCs w:val="28"/>
          <w:lang w:val="en-US" w:eastAsia="zh-CN"/>
        </w:rPr>
        <w:t>4</w:t>
      </w:r>
      <w:r>
        <w:rPr>
          <w:rFonts w:hint="eastAsia" w:ascii="仿宋_GB2312" w:eastAsia="仿宋_GB2312"/>
          <w:sz w:val="28"/>
          <w:szCs w:val="28"/>
        </w:rPr>
        <w:t>年度决算441</w:t>
      </w:r>
      <w:r>
        <w:rPr>
          <w:rFonts w:hint="eastAsia" w:ascii="仿宋_GB2312" w:eastAsia="仿宋_GB2312"/>
          <w:sz w:val="28"/>
          <w:szCs w:val="28"/>
          <w:lang w:val="en-US" w:eastAsia="zh-CN"/>
        </w:rPr>
        <w:t>.</w:t>
      </w:r>
      <w:r>
        <w:rPr>
          <w:rFonts w:hint="eastAsia" w:ascii="仿宋_GB2312" w:eastAsia="仿宋_GB2312"/>
          <w:sz w:val="28"/>
          <w:szCs w:val="28"/>
        </w:rPr>
        <w:t>303264万元，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42.67</w:t>
      </w:r>
      <w:r>
        <w:rPr>
          <w:rFonts w:hint="eastAsia" w:ascii="仿宋_GB2312" w:eastAsia="仿宋_GB2312"/>
          <w:sz w:val="28"/>
          <w:szCs w:val="28"/>
        </w:rPr>
        <w:t>%。主要原因：</w:t>
      </w:r>
      <w:r>
        <w:rPr>
          <w:rFonts w:ascii="Calibri" w:hAnsi="Calibri" w:eastAsia="仿宋_GB2312" w:cs="Calibri"/>
          <w:sz w:val="28"/>
          <w:szCs w:val="28"/>
        </w:rPr>
        <w:t>西城区</w:t>
      </w:r>
      <w:r>
        <w:rPr>
          <w:rFonts w:hint="eastAsia" w:ascii="Calibri" w:hAnsi="Calibri" w:eastAsia="仿宋_GB2312" w:cs="Calibri"/>
          <w:sz w:val="28"/>
          <w:szCs w:val="28"/>
          <w:lang w:val="en-US" w:eastAsia="zh-CN"/>
        </w:rPr>
        <w:t>利用棉花胡同93号</w:t>
      </w:r>
      <w:r>
        <w:rPr>
          <w:rFonts w:ascii="Calibri" w:hAnsi="Calibri" w:eastAsia="仿宋_GB2312" w:cs="Calibri"/>
          <w:sz w:val="28"/>
          <w:szCs w:val="28"/>
        </w:rPr>
        <w:t>简易楼腾退建设公益性设施项目</w:t>
      </w:r>
      <w:r>
        <w:rPr>
          <w:rFonts w:hint="eastAsia" w:ascii="Calibri" w:hAnsi="Calibri" w:eastAsia="仿宋_GB2312" w:cs="Calibri"/>
          <w:sz w:val="28"/>
          <w:szCs w:val="28"/>
          <w:lang w:val="en-US" w:eastAsia="zh-CN"/>
        </w:rPr>
        <w:t>等5个项目调减</w:t>
      </w:r>
      <w:r>
        <w:rPr>
          <w:rFonts w:hint="eastAsia" w:ascii="仿宋_GB2312" w:hAnsi="Times New Roman" w:eastAsia="仿宋_GB2312" w:cs="Times New Roman"/>
          <w:sz w:val="28"/>
          <w:szCs w:val="28"/>
          <w:lang w:val="en-US" w:eastAsia="zh-CN"/>
        </w:rPr>
        <w:t>592.216736</w:t>
      </w:r>
      <w:r>
        <w:rPr>
          <w:rFonts w:hint="eastAsia" w:ascii="Calibri" w:hAnsi="Calibri" w:eastAsia="仿宋_GB2312" w:cs="Calibri"/>
          <w:sz w:val="28"/>
          <w:szCs w:val="28"/>
          <w:lang w:val="en-US" w:eastAsia="zh-CN"/>
        </w:rPr>
        <w:t>万元。</w:t>
      </w:r>
    </w:p>
    <w:p w14:paraId="776FDB12">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“其他城乡社区支出”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17444.425483</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17000.086553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97.45</w:t>
      </w:r>
      <w:r>
        <w:rPr>
          <w:rFonts w:hint="eastAsia" w:ascii="仿宋_GB2312" w:eastAsia="仿宋_GB2312"/>
          <w:sz w:val="28"/>
          <w:szCs w:val="28"/>
        </w:rPr>
        <w:t>%。主要原因</w:t>
      </w:r>
      <w:r>
        <w:rPr>
          <w:rFonts w:hint="eastAsia" w:ascii="仿宋_GB2312" w:eastAsia="仿宋_GB2312"/>
          <w:sz w:val="28"/>
          <w:szCs w:val="28"/>
          <w:lang w:eastAsia="zh-CN"/>
        </w:rPr>
        <w:t>：</w:t>
      </w:r>
      <w:r>
        <w:rPr>
          <w:rFonts w:hint="eastAsia" w:ascii="仿宋_GB2312" w:eastAsia="仿宋_GB2312"/>
          <w:sz w:val="28"/>
          <w:szCs w:val="28"/>
        </w:rPr>
        <w:t>项目</w:t>
      </w:r>
      <w:r>
        <w:rPr>
          <w:rFonts w:hint="eastAsia" w:ascii="仿宋_GB2312" w:eastAsia="仿宋_GB2312"/>
          <w:sz w:val="28"/>
          <w:szCs w:val="28"/>
          <w:lang w:val="en-US" w:eastAsia="zh-CN"/>
        </w:rPr>
        <w:t>结算和预算项目调减</w:t>
      </w:r>
      <w:r>
        <w:rPr>
          <w:rFonts w:hint="eastAsia" w:ascii="仿宋_GB2312" w:eastAsia="仿宋_GB2312"/>
          <w:sz w:val="28"/>
          <w:szCs w:val="28"/>
        </w:rPr>
        <w:t>。主要项目</w:t>
      </w:r>
      <w:r>
        <w:rPr>
          <w:rFonts w:hint="eastAsia" w:ascii="仿宋_GB2312" w:eastAsia="仿宋_GB2312"/>
          <w:sz w:val="28"/>
          <w:szCs w:val="28"/>
          <w:lang w:val="en-US" w:eastAsia="zh-CN"/>
        </w:rPr>
        <w:t>包括：2022年平房翻建工程尾款</w:t>
      </w:r>
      <w:r>
        <w:rPr>
          <w:rFonts w:hint="eastAsia" w:ascii="仿宋_GB2312" w:eastAsia="仿宋_GB2312"/>
          <w:sz w:val="28"/>
          <w:szCs w:val="28"/>
        </w:rPr>
        <w:t>项目</w:t>
      </w:r>
      <w:r>
        <w:rPr>
          <w:rFonts w:hint="eastAsia" w:ascii="仿宋_GB2312" w:eastAsia="仿宋_GB2312"/>
          <w:sz w:val="28"/>
          <w:szCs w:val="28"/>
          <w:lang w:val="en-US" w:eastAsia="zh-CN"/>
        </w:rPr>
        <w:t>结算比年初预算减少约420.46万元</w:t>
      </w:r>
      <w:r>
        <w:rPr>
          <w:rFonts w:hint="eastAsia" w:ascii="Calibri" w:hAnsi="Calibri" w:eastAsia="仿宋_GB2312" w:cs="Calibri"/>
          <w:sz w:val="28"/>
          <w:szCs w:val="28"/>
          <w:lang w:val="en-US" w:eastAsia="zh-CN"/>
        </w:rPr>
        <w:t>；</w:t>
      </w:r>
      <w:r>
        <w:rPr>
          <w:rFonts w:hint="eastAsia" w:ascii="仿宋_GB2312" w:hAnsi="Times New Roman" w:eastAsia="仿宋_GB2312" w:cs="Times New Roman"/>
          <w:sz w:val="28"/>
          <w:szCs w:val="28"/>
          <w:lang w:val="en-US" w:eastAsia="zh-CN"/>
        </w:rPr>
        <w:t>2023年平房区院厕改造提升工程调减23.874581万元</w:t>
      </w:r>
      <w:r>
        <w:rPr>
          <w:rFonts w:hint="eastAsia" w:ascii="仿宋_GB2312" w:eastAsia="仿宋_GB2312"/>
          <w:sz w:val="28"/>
          <w:szCs w:val="28"/>
        </w:rPr>
        <w:t>。</w:t>
      </w:r>
    </w:p>
    <w:p w14:paraId="4A3C0E3B">
      <w:pPr>
        <w:pStyle w:val="2"/>
        <w:rPr>
          <w:rFonts w:hint="eastAsia"/>
        </w:rPr>
      </w:pPr>
    </w:p>
    <w:p w14:paraId="79A539B4">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6A5C10AC">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14:paraId="39122C01">
      <w:pPr>
        <w:spacing w:line="580" w:lineRule="exact"/>
        <w:ind w:firstLine="560" w:firstLineChars="200"/>
        <w:rPr>
          <w:rFonts w:hint="eastAsia" w:ascii="仿宋_GB2312" w:eastAsia="仿宋_GB2312"/>
          <w:sz w:val="28"/>
          <w:szCs w:val="28"/>
        </w:rPr>
      </w:pPr>
      <w:r>
        <w:rPr>
          <w:rFonts w:hint="eastAsia" w:ascii="仿宋_GB2312" w:hAnsi="仿宋" w:eastAsia="仿宋_GB2312" w:cs="仿宋"/>
          <w:color w:val="000000"/>
          <w:sz w:val="28"/>
          <w:szCs w:val="28"/>
        </w:rPr>
        <w:t>本</w:t>
      </w:r>
      <w:r>
        <w:rPr>
          <w:rFonts w:hint="eastAsia" w:ascii="仿宋_GB2312" w:hAnsi="仿宋" w:eastAsia="仿宋_GB2312" w:cs="仿宋"/>
          <w:color w:val="000000"/>
          <w:sz w:val="28"/>
          <w:szCs w:val="28"/>
          <w:lang w:val="en-US" w:eastAsia="zh-CN"/>
        </w:rPr>
        <w:t>单位无</w:t>
      </w:r>
      <w:r>
        <w:rPr>
          <w:rFonts w:hint="eastAsia" w:ascii="仿宋_GB2312" w:eastAsia="仿宋_GB2312"/>
          <w:sz w:val="28"/>
          <w:szCs w:val="28"/>
        </w:rPr>
        <w:t>政府性基金预算财政拨款支出</w:t>
      </w:r>
      <w:r>
        <w:rPr>
          <w:rFonts w:hint="eastAsia" w:ascii="仿宋_GB2312" w:hAnsi="仿宋" w:eastAsia="仿宋_GB2312" w:cs="仿宋"/>
          <w:color w:val="000000"/>
          <w:sz w:val="28"/>
          <w:szCs w:val="28"/>
        </w:rPr>
        <w:t>。</w:t>
      </w: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万元，主要用于以下方面（按大类）：城乡社区支出0万元，占本年财政拨款支出0%。</w:t>
      </w:r>
    </w:p>
    <w:p w14:paraId="54005ED2">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14:paraId="432F4AA9">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561CFB7D">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099704B2">
      <w:pPr>
        <w:pStyle w:val="2"/>
        <w:rPr>
          <w:rFonts w:ascii="仿宋_GB2312" w:eastAsia="仿宋_GB2312"/>
          <w:sz w:val="28"/>
          <w:szCs w:val="28"/>
        </w:rPr>
      </w:pPr>
      <w:r>
        <w:rPr>
          <w:rFonts w:hint="eastAsia" w:ascii="仿宋_GB2312" w:hAnsi="仿宋" w:eastAsia="仿宋_GB2312" w:cs="仿宋"/>
          <w:color w:val="000000"/>
          <w:sz w:val="28"/>
          <w:szCs w:val="28"/>
        </w:rPr>
        <w:t>本</w:t>
      </w:r>
      <w:r>
        <w:rPr>
          <w:rFonts w:hint="eastAsia" w:ascii="仿宋_GB2312" w:hAnsi="仿宋" w:eastAsia="仿宋_GB2312" w:cs="仿宋"/>
          <w:color w:val="000000"/>
          <w:sz w:val="28"/>
          <w:szCs w:val="28"/>
          <w:lang w:val="en-US" w:eastAsia="zh-CN"/>
        </w:rPr>
        <w:t>单位无</w:t>
      </w:r>
      <w:r>
        <w:rPr>
          <w:rFonts w:hint="eastAsia" w:ascii="仿宋_GB2312" w:eastAsia="仿宋_GB2312"/>
          <w:sz w:val="28"/>
          <w:szCs w:val="28"/>
        </w:rPr>
        <w:t>国有资本经营预算财政</w:t>
      </w:r>
      <w:r>
        <w:rPr>
          <w:rFonts w:ascii="仿宋_GB2312" w:eastAsia="仿宋_GB2312"/>
          <w:sz w:val="28"/>
          <w:szCs w:val="28"/>
        </w:rPr>
        <w:t>拨款</w:t>
      </w:r>
      <w:r>
        <w:rPr>
          <w:rFonts w:hint="eastAsia" w:ascii="仿宋_GB2312" w:eastAsia="仿宋_GB2312"/>
          <w:sz w:val="28"/>
          <w:szCs w:val="28"/>
        </w:rPr>
        <w:t>收</w:t>
      </w:r>
      <w:r>
        <w:rPr>
          <w:rFonts w:hint="eastAsia" w:ascii="仿宋_GB2312" w:eastAsia="仿宋_GB2312"/>
          <w:sz w:val="28"/>
          <w:szCs w:val="28"/>
          <w:lang w:val="en-US" w:eastAsia="zh-CN"/>
        </w:rPr>
        <w:t>支。</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14:paraId="15687A76">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03E4E0A5">
      <w:pPr>
        <w:tabs>
          <w:tab w:val="center" w:pos="6979"/>
        </w:tabs>
        <w:spacing w:line="580" w:lineRule="exact"/>
        <w:ind w:firstLine="548" w:firstLineChars="196"/>
        <w:rPr>
          <w:rFonts w:ascii="仿宋_GB2312" w:eastAsia="仿宋_GB2312"/>
          <w:sz w:val="28"/>
          <w:szCs w:val="28"/>
        </w:rPr>
      </w:pPr>
      <w:r>
        <w:rPr>
          <w:rFonts w:hint="eastAsia" w:ascii="仿宋_GB2312" w:eastAsia="仿宋_GB2312"/>
          <w:sz w:val="28"/>
          <w:szCs w:val="28"/>
          <w:lang w:val="en-US" w:eastAsia="zh-CN"/>
        </w:rPr>
        <w:t>本单位无财政拨款基本支出。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0</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64335E85">
      <w:pPr>
        <w:pStyle w:val="2"/>
        <w:rPr>
          <w:rFonts w:hint="eastAsia"/>
        </w:rPr>
      </w:pPr>
    </w:p>
    <w:p w14:paraId="3901524C">
      <w:pPr>
        <w:rPr>
          <w:rFonts w:hint="eastAsia"/>
        </w:rPr>
      </w:pPr>
    </w:p>
    <w:p w14:paraId="72074A95">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74430C64">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080C0AD1">
      <w:pPr>
        <w:spacing w:line="560" w:lineRule="exact"/>
        <w:ind w:firstLine="600"/>
        <w:rPr>
          <w:rFonts w:ascii="仿宋_GB2312" w:eastAsia="仿宋_GB2312"/>
          <w:sz w:val="28"/>
          <w:szCs w:val="28"/>
        </w:rPr>
      </w:pPr>
      <w:r>
        <w:rPr>
          <w:rFonts w:hint="eastAsia" w:ascii="仿宋_GB2312" w:eastAsia="仿宋_GB2312"/>
          <w:sz w:val="28"/>
          <w:szCs w:val="28"/>
          <w:lang w:val="en-US" w:eastAsia="zh-CN"/>
        </w:rPr>
        <w:t>本单位不涉及</w:t>
      </w:r>
      <w:r>
        <w:rPr>
          <w:rFonts w:hint="eastAsia" w:ascii="方正仿宋_GB2312" w:hAnsi="方正仿宋_GB2312" w:eastAsia="方正仿宋_GB2312" w:cs="方正仿宋_GB2312"/>
          <w:sz w:val="28"/>
          <w:szCs w:val="28"/>
        </w:rPr>
        <w:t>“三公”经费财政拨款</w:t>
      </w:r>
      <w:r>
        <w:rPr>
          <w:rFonts w:hint="eastAsia" w:ascii="黑体" w:eastAsia="黑体"/>
          <w:sz w:val="28"/>
          <w:szCs w:val="28"/>
          <w:lang w:eastAsia="zh-CN"/>
        </w:rPr>
        <w:t>。</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万元。其中：</w:t>
      </w:r>
    </w:p>
    <w:p w14:paraId="6DDE5BCB">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万元。主要原因：本部门（单位）无此支出。202</w:t>
      </w:r>
      <w:r>
        <w:rPr>
          <w:rFonts w:hint="eastAsia" w:ascii="仿宋_GB2312" w:eastAsia="仿宋_GB2312"/>
          <w:sz w:val="28"/>
          <w:szCs w:val="28"/>
          <w:lang w:val="en-US" w:eastAsia="zh-CN"/>
        </w:rPr>
        <w:t>4</w:t>
      </w:r>
      <w:r>
        <w:rPr>
          <w:rFonts w:hint="eastAsia" w:ascii="仿宋_GB2312" w:eastAsia="仿宋_GB2312"/>
          <w:sz w:val="28"/>
          <w:szCs w:val="28"/>
        </w:rPr>
        <w:t>年度因公出国（境）费用主要用于……等方面（需列示主要出国的会议、培训等事项），202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人次，人均因公出国（境）费用</w:t>
      </w:r>
      <w:r>
        <w:rPr>
          <w:rFonts w:ascii="仿宋_GB2312" w:eastAsia="仿宋_GB2312"/>
          <w:sz w:val="28"/>
          <w:szCs w:val="28"/>
        </w:rPr>
        <w:t>0</w:t>
      </w:r>
      <w:r>
        <w:rPr>
          <w:rFonts w:hint="eastAsia" w:ascii="仿宋_GB2312" w:eastAsia="仿宋_GB2312"/>
          <w:sz w:val="28"/>
          <w:szCs w:val="28"/>
        </w:rPr>
        <w:t>万元。</w:t>
      </w:r>
    </w:p>
    <w:p w14:paraId="6839CF23">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万元。主要原因：本部门（单位）无此支出。202</w:t>
      </w:r>
      <w:r>
        <w:rPr>
          <w:rFonts w:hint="eastAsia" w:ascii="仿宋_GB2312" w:eastAsia="仿宋_GB2312"/>
          <w:sz w:val="28"/>
          <w:szCs w:val="28"/>
          <w:lang w:val="en-US" w:eastAsia="zh-CN"/>
        </w:rPr>
        <w:t>4</w:t>
      </w:r>
      <w:r>
        <w:rPr>
          <w:rFonts w:hint="eastAsia" w:ascii="仿宋_GB2312" w:eastAsia="仿宋_GB2312"/>
          <w:sz w:val="28"/>
          <w:szCs w:val="28"/>
        </w:rPr>
        <w:t>年度公务接待费主要用于……（主要接待事项）。公务接待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14:paraId="1AE18A2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w:t>
      </w:r>
    </w:p>
    <w:p w14:paraId="49D8566F">
      <w:pPr>
        <w:spacing w:line="560" w:lineRule="exact"/>
        <w:ind w:firstLine="560" w:firstLineChars="200"/>
        <w:rPr>
          <w:rFonts w:hint="eastAsia" w:ascii="黑体" w:eastAsia="黑体"/>
          <w:sz w:val="28"/>
          <w:szCs w:val="28"/>
        </w:rPr>
      </w:pPr>
      <w:r>
        <w:rPr>
          <w:rFonts w:hint="eastAsia" w:ascii="仿宋_GB2312" w:eastAsia="仿宋_GB2312"/>
          <w:sz w:val="28"/>
          <w:szCs w:val="28"/>
        </w:rPr>
        <w:t>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万元。主要原因：本部门（单位）无此支出。202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辆，车均购置费</w:t>
      </w:r>
      <w:r>
        <w:rPr>
          <w:rFonts w:ascii="仿宋_GB2312" w:eastAsia="仿宋_GB2312"/>
          <w:sz w:val="28"/>
          <w:szCs w:val="28"/>
        </w:rPr>
        <w:t>0</w:t>
      </w:r>
      <w:r>
        <w:rPr>
          <w:rFonts w:hint="eastAsia" w:ascii="仿宋_GB2312" w:eastAsia="仿宋_GB2312"/>
          <w:sz w:val="28"/>
          <w:szCs w:val="28"/>
        </w:rPr>
        <w:t>万元。公务用车运行维护费202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万元，主要原因：本部门（单位）无此支出。</w:t>
      </w:r>
      <w:r>
        <w:rPr>
          <w:rFonts w:hint="eastAsia" w:ascii="仿宋_GB2312" w:eastAsia="仿宋_GB2312"/>
          <w:sz w:val="28"/>
          <w:szCs w:val="28"/>
          <w:lang w:eastAsia="zh-CN"/>
        </w:rPr>
        <w:t>2024</w:t>
      </w:r>
      <w:r>
        <w:rPr>
          <w:rFonts w:hint="eastAsia" w:ascii="仿宋_GB2312" w:eastAsia="仿宋_GB2312"/>
          <w:sz w:val="28"/>
          <w:szCs w:val="28"/>
        </w:rPr>
        <w:t>年度公务用车运行维护费中，公务用车加油</w:t>
      </w:r>
      <w:r>
        <w:rPr>
          <w:rFonts w:ascii="仿宋_GB2312" w:eastAsia="仿宋_GB2312"/>
          <w:sz w:val="28"/>
          <w:szCs w:val="28"/>
        </w:rPr>
        <w:t>0</w:t>
      </w:r>
      <w:r>
        <w:rPr>
          <w:rFonts w:hint="eastAsia" w:ascii="仿宋_GB2312" w:eastAsia="仿宋_GB2312"/>
          <w:sz w:val="28"/>
          <w:szCs w:val="28"/>
        </w:rPr>
        <w:t>万元，公务用车维修</w:t>
      </w:r>
      <w:r>
        <w:rPr>
          <w:rFonts w:ascii="仿宋_GB2312" w:eastAsia="仿宋_GB2312"/>
          <w:sz w:val="28"/>
          <w:szCs w:val="28"/>
        </w:rPr>
        <w:t>0</w:t>
      </w:r>
      <w:r>
        <w:rPr>
          <w:rFonts w:hint="eastAsia" w:ascii="仿宋_GB2312" w:eastAsia="仿宋_GB2312"/>
          <w:sz w:val="28"/>
          <w:szCs w:val="28"/>
        </w:rPr>
        <w:t>万元，公务用车保险</w:t>
      </w:r>
      <w:r>
        <w:rPr>
          <w:rFonts w:ascii="仿宋_GB2312" w:eastAsia="仿宋_GB2312"/>
          <w:sz w:val="28"/>
          <w:szCs w:val="28"/>
        </w:rPr>
        <w:t>0</w:t>
      </w:r>
      <w:r>
        <w:rPr>
          <w:rFonts w:hint="eastAsia" w:ascii="仿宋_GB2312" w:eastAsia="仿宋_GB2312"/>
          <w:sz w:val="28"/>
          <w:szCs w:val="28"/>
        </w:rPr>
        <w:t>万元，公务用车其他支出</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辆，车均运行维护费</w:t>
      </w:r>
      <w:r>
        <w:rPr>
          <w:rFonts w:ascii="仿宋_GB2312" w:eastAsia="仿宋_GB2312"/>
          <w:sz w:val="28"/>
          <w:szCs w:val="28"/>
        </w:rPr>
        <w:t>0</w:t>
      </w:r>
      <w:r>
        <w:rPr>
          <w:rFonts w:hint="eastAsia" w:ascii="仿宋_GB2312" w:eastAsia="仿宋_GB2312"/>
          <w:sz w:val="28"/>
          <w:szCs w:val="28"/>
        </w:rPr>
        <w:t>万元。</w:t>
      </w:r>
    </w:p>
    <w:p w14:paraId="31AA59DE">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6471EF8A">
      <w:pPr>
        <w:ind w:firstLine="537" w:firstLineChars="192"/>
        <w:rPr>
          <w:rFonts w:hint="eastAsia" w:ascii="仿宋_GB2312" w:eastAsia="仿宋_GB2312"/>
          <w:sz w:val="28"/>
          <w:szCs w:val="28"/>
          <w:lang w:eastAsia="zh-CN"/>
        </w:rPr>
      </w:pPr>
      <w:r>
        <w:rPr>
          <w:rFonts w:hint="eastAsia" w:ascii="仿宋_GB2312" w:eastAsia="仿宋_GB2312"/>
          <w:sz w:val="28"/>
          <w:szCs w:val="28"/>
        </w:rPr>
        <w:t>本单位不属于机关运行经费支出统计范围。</w:t>
      </w: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0.00</w:t>
      </w:r>
      <w:r>
        <w:rPr>
          <w:rFonts w:hint="eastAsia" w:ascii="仿宋_GB2312" w:eastAsia="仿宋_GB2312"/>
          <w:sz w:val="28"/>
          <w:szCs w:val="28"/>
        </w:rPr>
        <w:t>万元，比上年增加（减少）</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p>
    <w:p w14:paraId="2C63B581">
      <w:pPr>
        <w:ind w:left="540"/>
        <w:rPr>
          <w:rFonts w:hint="eastAsia" w:ascii="黑体" w:eastAsia="黑体"/>
          <w:sz w:val="28"/>
          <w:szCs w:val="28"/>
        </w:rPr>
      </w:pPr>
      <w:r>
        <w:rPr>
          <w:rFonts w:hint="eastAsia" w:ascii="黑体" w:eastAsia="黑体"/>
          <w:sz w:val="28"/>
          <w:szCs w:val="28"/>
        </w:rPr>
        <w:t>三、政府采购支出情况</w:t>
      </w:r>
    </w:p>
    <w:p w14:paraId="3C9D75E7">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lang w:val="en-US" w:eastAsia="zh-CN"/>
        </w:rPr>
        <w:t>本单位无政府采购支出。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0</w:t>
      </w:r>
      <w:r>
        <w:rPr>
          <w:rFonts w:hint="eastAsia" w:ascii="仿宋_GB2312" w:eastAsia="仿宋_GB2312"/>
          <w:sz w:val="28"/>
          <w:szCs w:val="28"/>
        </w:rPr>
        <w:t>万元，其中：政府采购货物支出</w:t>
      </w:r>
      <w:r>
        <w:rPr>
          <w:rFonts w:ascii="仿宋_GB2312" w:eastAsia="仿宋_GB2312"/>
          <w:sz w:val="28"/>
          <w:szCs w:val="28"/>
        </w:rPr>
        <w:t>0</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0</w:t>
      </w:r>
      <w:r>
        <w:rPr>
          <w:rFonts w:hint="eastAsia" w:ascii="仿宋_GB2312" w:eastAsia="仿宋_GB2312"/>
          <w:sz w:val="28"/>
          <w:szCs w:val="28"/>
        </w:rPr>
        <w:t>万元。授予中小企业合同金额</w:t>
      </w:r>
      <w:r>
        <w:rPr>
          <w:rFonts w:ascii="仿宋_GB2312" w:eastAsia="仿宋_GB2312"/>
          <w:sz w:val="28"/>
          <w:szCs w:val="28"/>
        </w:rPr>
        <w:t>0</w:t>
      </w:r>
      <w:r>
        <w:rPr>
          <w:rFonts w:hint="eastAsia" w:ascii="仿宋_GB2312" w:eastAsia="仿宋_GB2312"/>
          <w:sz w:val="28"/>
          <w:szCs w:val="28"/>
        </w:rPr>
        <w:t>万元，占政府采购支出总额的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0万元，占政府采购支出总额的</w:t>
      </w:r>
      <w:r>
        <w:rPr>
          <w:rFonts w:ascii="仿宋_GB2312" w:eastAsia="仿宋_GB2312"/>
          <w:sz w:val="28"/>
          <w:szCs w:val="28"/>
        </w:rPr>
        <w:t>0</w:t>
      </w:r>
      <w:r>
        <w:rPr>
          <w:rFonts w:hint="eastAsia" w:ascii="仿宋_GB2312" w:eastAsia="仿宋_GB2312"/>
          <w:sz w:val="28"/>
          <w:szCs w:val="28"/>
        </w:rPr>
        <w:t>%。</w:t>
      </w:r>
    </w:p>
    <w:p w14:paraId="5B04145A">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576D5239">
      <w:pPr>
        <w:ind w:firstLine="560" w:firstLineChars="200"/>
        <w:rPr>
          <w:rFonts w:hint="eastAsia" w:ascii="仿宋_GB2312" w:eastAsia="仿宋_GB2312"/>
          <w:sz w:val="32"/>
          <w:szCs w:val="32"/>
          <w:lang w:eastAsia="zh-CN"/>
        </w:rPr>
      </w:pPr>
      <w:r>
        <w:rPr>
          <w:rFonts w:hint="eastAsia" w:ascii="仿宋_GB2312" w:eastAsia="仿宋_GB2312"/>
          <w:sz w:val="28"/>
          <w:szCs w:val="28"/>
        </w:rPr>
        <w:t>本单位</w:t>
      </w:r>
      <w:r>
        <w:rPr>
          <w:rFonts w:hint="eastAsia" w:ascii="仿宋_GB2312" w:eastAsia="仿宋_GB2312"/>
          <w:sz w:val="28"/>
          <w:szCs w:val="28"/>
          <w:lang w:val="en-US" w:eastAsia="zh-CN"/>
        </w:rPr>
        <w:t>无国有资产占用情况。</w:t>
      </w: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12月31日，北京德源兴业投资管理集团有限公司</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14:paraId="7E425EC4">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18C8EB82">
      <w:pPr>
        <w:ind w:firstLine="537" w:firstLineChars="192"/>
        <w:rPr>
          <w:rFonts w:hint="eastAsia" w:ascii="方正仿宋_GB18030" w:hAnsi="方正仿宋_GB18030" w:eastAsia="方正仿宋_GB18030" w:cs="方正仿宋_GB18030"/>
          <w:sz w:val="28"/>
          <w:szCs w:val="28"/>
          <w:lang w:val="en-US" w:eastAsia="zh-CN"/>
        </w:rPr>
      </w:pPr>
      <w:r>
        <w:rPr>
          <w:rFonts w:hint="eastAsia" w:ascii="仿宋_GB2312" w:eastAsia="仿宋_GB2312"/>
          <w:sz w:val="28"/>
          <w:szCs w:val="28"/>
        </w:rPr>
        <w:t>本单位</w:t>
      </w:r>
      <w:r>
        <w:rPr>
          <w:rFonts w:hint="eastAsia" w:ascii="仿宋_GB2312" w:eastAsia="仿宋_GB2312"/>
          <w:sz w:val="28"/>
          <w:szCs w:val="28"/>
          <w:lang w:val="en-US" w:eastAsia="zh-CN"/>
        </w:rPr>
        <w:t>无</w:t>
      </w:r>
      <w:r>
        <w:rPr>
          <w:rFonts w:hint="eastAsia" w:ascii="仿宋" w:hAnsi="仿宋" w:eastAsia="仿宋" w:cs="仿宋"/>
          <w:sz w:val="28"/>
          <w:szCs w:val="28"/>
        </w:rPr>
        <w:t>政府购买服务支出</w:t>
      </w:r>
      <w:r>
        <w:rPr>
          <w:rFonts w:hint="eastAsia" w:ascii="仿宋" w:hAnsi="仿宋" w:eastAsia="仿宋" w:cs="仿宋"/>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14:paraId="639DD2B6">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10D0A2A3">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7AE9F1BC">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4B43EB8D">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24977F7">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159E71FD">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5DC8A20D">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43DB4565">
      <w:pPr>
        <w:ind w:firstLine="632" w:firstLineChars="200"/>
        <w:rPr>
          <w:rFonts w:hint="eastAsia" w:ascii="仿宋_GB2312" w:hAnsi="Times New Roman" w:eastAsia="仿宋_GB2312" w:cs="Times New Roman"/>
          <w:b/>
          <w:color w:val="000000"/>
          <w:spacing w:val="-2"/>
          <w:sz w:val="32"/>
          <w:szCs w:val="32"/>
          <w:lang w:eastAsia="zh-CN"/>
        </w:rPr>
      </w:pPr>
      <w:r>
        <w:rPr>
          <w:rFonts w:hint="eastAsia" w:ascii="仿宋_GB2312" w:eastAsia="仿宋_GB2312"/>
          <w:b/>
          <w:color w:val="000000"/>
          <w:spacing w:val="-2"/>
          <w:sz w:val="32"/>
          <w:szCs w:val="32"/>
          <w:lang w:val="en-US" w:eastAsia="zh-CN"/>
        </w:rPr>
        <w:t>7.</w:t>
      </w:r>
      <w:r>
        <w:rPr>
          <w:rFonts w:hint="eastAsia" w:ascii="仿宋_GB2312" w:eastAsia="仿宋_GB2312"/>
          <w:b/>
          <w:color w:val="000000"/>
          <w:spacing w:val="-2"/>
          <w:sz w:val="32"/>
          <w:szCs w:val="32"/>
        </w:rPr>
        <w:t>各</w:t>
      </w:r>
      <w:r>
        <w:rPr>
          <w:rFonts w:hint="eastAsia" w:ascii="仿宋_GB2312" w:eastAsia="仿宋_GB2312"/>
          <w:b/>
          <w:color w:val="000000"/>
          <w:spacing w:val="-2"/>
          <w:sz w:val="32"/>
          <w:szCs w:val="32"/>
          <w:lang w:eastAsia="zh-CN"/>
        </w:rPr>
        <w:t>单位</w:t>
      </w:r>
      <w:r>
        <w:rPr>
          <w:rFonts w:hint="eastAsia" w:ascii="仿宋_GB2312" w:eastAsia="仿宋_GB2312"/>
          <w:b/>
          <w:color w:val="000000"/>
          <w:spacing w:val="-2"/>
          <w:sz w:val="32"/>
          <w:szCs w:val="32"/>
        </w:rPr>
        <w:t>需根据自身业务职能</w:t>
      </w:r>
      <w:r>
        <w:rPr>
          <w:rFonts w:hint="eastAsia" w:ascii="仿宋_GB2312" w:hAnsi="Times New Roman" w:eastAsia="仿宋_GB2312" w:cs="Times New Roman"/>
          <w:b/>
          <w:color w:val="000000"/>
          <w:spacing w:val="-2"/>
          <w:sz w:val="32"/>
          <w:szCs w:val="32"/>
        </w:rPr>
        <w:t>，</w:t>
      </w:r>
      <w:r>
        <w:rPr>
          <w:rFonts w:hint="eastAsia" w:ascii="仿宋_GB2312" w:hAnsi="Times New Roman" w:eastAsia="仿宋_GB2312" w:cs="Times New Roman"/>
          <w:b/>
          <w:color w:val="000000"/>
          <w:spacing w:val="-2"/>
          <w:sz w:val="32"/>
          <w:szCs w:val="32"/>
          <w:lang w:eastAsia="zh-CN"/>
        </w:rPr>
        <w:t>补充当年</w:t>
      </w:r>
      <w:r>
        <w:rPr>
          <w:rFonts w:hint="eastAsia" w:ascii="仿宋_GB2312" w:hAnsi="Times New Roman" w:eastAsia="仿宋_GB2312" w:cs="Times New Roman"/>
          <w:b/>
          <w:color w:val="000000"/>
          <w:spacing w:val="-2"/>
          <w:sz w:val="32"/>
          <w:szCs w:val="32"/>
          <w:lang w:val="en-US" w:eastAsia="zh-CN"/>
        </w:rPr>
        <w:t>使用的所有</w:t>
      </w:r>
      <w:r>
        <w:rPr>
          <w:rFonts w:hint="eastAsia" w:ascii="仿宋_GB2312" w:hAnsi="Times New Roman" w:eastAsia="仿宋_GB2312" w:cs="Times New Roman"/>
          <w:b/>
          <w:color w:val="000000"/>
          <w:spacing w:val="-2"/>
          <w:sz w:val="32"/>
          <w:szCs w:val="32"/>
          <w:lang w:eastAsia="zh-CN"/>
        </w:rPr>
        <w:t>支出功能分类项级科目名词解释，例如：</w:t>
      </w:r>
    </w:p>
    <w:p w14:paraId="5F2DFB29">
      <w:pPr>
        <w:numPr>
          <w:ilvl w:val="0"/>
          <w:numId w:val="0"/>
        </w:numPr>
        <w:ind w:firstLine="632" w:firstLineChars="200"/>
        <w:rPr>
          <w:rFonts w:hint="eastAsia" w:ascii="仿宋_GB2312" w:eastAsia="仿宋_GB2312"/>
          <w:sz w:val="28"/>
          <w:szCs w:val="28"/>
          <w:lang w:val="en-US" w:eastAsia="zh-CN"/>
        </w:rPr>
      </w:pPr>
      <w:r>
        <w:rPr>
          <w:rFonts w:hint="eastAsia" w:ascii="仿宋_GB2312" w:hAnsi="Times New Roman" w:eastAsia="仿宋_GB2312" w:cs="Times New Roman"/>
          <w:b/>
          <w:color w:val="000000"/>
          <w:spacing w:val="-2"/>
          <w:sz w:val="32"/>
          <w:szCs w:val="32"/>
          <w:lang w:val="en-US" w:eastAsia="zh-CN"/>
        </w:rPr>
        <w:t>一般公共服务支出（类）人大事务（款）行政运行（项）：反映行政单位（包括实行公务员管理的事业单位）的基本支出</w:t>
      </w:r>
      <w:r>
        <w:rPr>
          <w:rFonts w:hint="eastAsia" w:ascii="仿宋_GB2312" w:eastAsia="仿宋_GB2312"/>
          <w:sz w:val="28"/>
          <w:szCs w:val="28"/>
          <w:lang w:val="en-US" w:eastAsia="zh-CN"/>
        </w:rPr>
        <w:t>。</w:t>
      </w:r>
    </w:p>
    <w:p w14:paraId="3B1580AF">
      <w:pPr>
        <w:pStyle w:val="2"/>
        <w:rPr>
          <w:rFonts w:hint="eastAsia" w:ascii="仿宋_GB2312" w:eastAsia="仿宋_GB2312"/>
          <w:sz w:val="28"/>
          <w:szCs w:val="28"/>
          <w:lang w:val="en-US" w:eastAsia="zh-CN"/>
        </w:rPr>
      </w:pPr>
    </w:p>
    <w:p w14:paraId="5D60E089">
      <w:pPr>
        <w:rPr>
          <w:rFonts w:hint="eastAsia"/>
          <w:lang w:val="en-US" w:eastAsia="zh-CN"/>
        </w:rPr>
      </w:pPr>
      <w:bookmarkStart w:id="0" w:name="_GoBack"/>
      <w:bookmarkEnd w:id="0"/>
    </w:p>
    <w:p w14:paraId="56B81D90">
      <w:pPr>
        <w:rPr>
          <w:rFonts w:hint="eastAsia"/>
        </w:rPr>
      </w:pPr>
    </w:p>
    <w:p w14:paraId="3E426DC1">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6852218C">
      <w:pPr>
        <w:ind w:firstLine="560" w:firstLineChars="200"/>
        <w:rPr>
          <w:rFonts w:hint="eastAsia" w:ascii="黑体" w:eastAsia="黑体"/>
          <w:sz w:val="28"/>
          <w:szCs w:val="28"/>
          <w:highlight w:val="yellow"/>
        </w:rPr>
      </w:pPr>
    </w:p>
    <w:p w14:paraId="4037E90B">
      <w:pPr>
        <w:numPr>
          <w:ilvl w:val="0"/>
          <w:numId w:val="0"/>
        </w:numPr>
        <w:ind w:firstLine="560" w:firstLineChars="200"/>
        <w:rPr>
          <w:rFonts w:hint="eastAsia" w:ascii="黑体" w:eastAsia="黑体"/>
          <w:sz w:val="28"/>
          <w:szCs w:val="28"/>
          <w:lang w:eastAsia="zh-CN"/>
        </w:rPr>
      </w:pPr>
      <w:r>
        <w:rPr>
          <w:rFonts w:hint="eastAsia" w:ascii="黑体" w:hAnsi="Times New Roman" w:eastAsia="黑体" w:cs="Times New Roman"/>
          <w:kern w:val="2"/>
          <w:sz w:val="28"/>
          <w:szCs w:val="28"/>
          <w:lang w:val="en-US" w:eastAsia="zh-CN" w:bidi="ar-SA"/>
        </w:rPr>
        <w:t>一、</w:t>
      </w:r>
      <w:r>
        <w:rPr>
          <w:rFonts w:hint="eastAsia" w:ascii="黑体" w:eastAsia="黑体"/>
          <w:sz w:val="28"/>
          <w:szCs w:val="28"/>
          <w:highlight w:val="none"/>
        </w:rPr>
        <w:t>部门整体绩效评价报告</w:t>
      </w:r>
    </w:p>
    <w:p w14:paraId="75072D3A">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（一）部门概况</w:t>
      </w:r>
    </w:p>
    <w:p w14:paraId="389AF441">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1、机构设置及职责工作任务情况</w:t>
      </w:r>
    </w:p>
    <w:p w14:paraId="733846B3">
      <w:pPr>
        <w:rPr>
          <w:rFonts w:hint="default" w:eastAsia="仿宋_GB2312"/>
          <w:lang w:val="en-US" w:eastAsia="zh-CN"/>
        </w:rPr>
      </w:pPr>
      <w:r>
        <w:drawing>
          <wp:anchor distT="0" distB="0" distL="114300" distR="114300" simplePos="0" relativeHeight="251661312" behindDoc="0" locked="0" layoutInCell="1" allowOverlap="1">
            <wp:simplePos x="0" y="0"/>
            <wp:positionH relativeFrom="margin">
              <wp:posOffset>2442210</wp:posOffset>
            </wp:positionH>
            <wp:positionV relativeFrom="paragraph">
              <wp:posOffset>1145540</wp:posOffset>
            </wp:positionV>
            <wp:extent cx="4523105" cy="2593975"/>
            <wp:effectExtent l="0" t="0" r="0" b="15875"/>
            <wp:wrapNone/>
            <wp:docPr id="7" name="图片 2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descr="wps"/>
                    <pic:cNvPicPr>
                      <a:picLocks noChangeAspect="1"/>
                    </pic:cNvPicPr>
                  </pic:nvPicPr>
                  <pic:blipFill>
                    <a:blip r:embed="rId7"/>
                    <a:srcRect l="4309" t="6763" b="4259"/>
                    <a:stretch>
                      <a:fillRect/>
                    </a:stretch>
                  </pic:blipFill>
                  <pic:spPr>
                    <a:xfrm>
                      <a:off x="0" y="0"/>
                      <a:ext cx="4523105" cy="2593975"/>
                    </a:xfrm>
                    <a:prstGeom prst="rect">
                      <a:avLst/>
                    </a:prstGeom>
                    <a:noFill/>
                    <a:ln>
                      <a:noFill/>
                    </a:ln>
                  </pic:spPr>
                </pic:pic>
              </a:graphicData>
            </a:graphic>
          </wp:anchor>
        </w:drawing>
      </w:r>
      <w:r>
        <w:rPr>
          <w:rFonts w:hint="eastAsia" w:ascii="仿宋_GB2312" w:eastAsia="仿宋_GB2312" w:cs="宋体"/>
          <w:bCs/>
          <w:snapToGrid w:val="0"/>
          <w:kern w:val="0"/>
          <w:sz w:val="28"/>
          <w:szCs w:val="28"/>
          <w:lang w:val="en-US" w:eastAsia="zh-CN"/>
        </w:rPr>
        <w:t xml:space="preserve">    集团目前总部设立13个职能部室，管理二级公司16家。集团董事会下设董事监事办公室，管理层下设8个职能部室，即财务管理部、集团办公室、计划管理部、人力资源部、房屋管理部、工程管理部、安全管理部、信访办公室，党委下调4个部室，即党委工作部、纪检监督部、工会办公室、内控审计部。</w:t>
      </w:r>
    </w:p>
    <w:p w14:paraId="295754CC">
      <w:pPr>
        <w:ind w:firstLine="1120" w:firstLineChars="400"/>
        <w:rPr>
          <w:rFonts w:ascii="仿宋_GB2312" w:eastAsia="仿宋_GB2312" w:cs="宋体"/>
          <w:bCs/>
          <w:snapToGrid w:val="0"/>
          <w:kern w:val="0"/>
          <w:sz w:val="28"/>
          <w:szCs w:val="28"/>
        </w:rPr>
      </w:pPr>
    </w:p>
    <w:p w14:paraId="12022F7A">
      <w:pPr>
        <w:pStyle w:val="2"/>
        <w:ind w:firstLine="420"/>
      </w:pPr>
    </w:p>
    <w:p w14:paraId="6957D58B">
      <w:pPr>
        <w:rPr>
          <w:rFonts w:hint="eastAsia"/>
        </w:rPr>
      </w:pPr>
    </w:p>
    <w:p w14:paraId="755F3FDA">
      <w:pPr>
        <w:pStyle w:val="2"/>
        <w:ind w:firstLine="560"/>
        <w:rPr>
          <w:rFonts w:ascii="仿宋_GB2312" w:eastAsia="仿宋_GB2312" w:cs="宋体"/>
          <w:bCs/>
          <w:snapToGrid w:val="0"/>
          <w:kern w:val="0"/>
          <w:sz w:val="28"/>
          <w:szCs w:val="28"/>
        </w:rPr>
      </w:pPr>
    </w:p>
    <w:p w14:paraId="08CF5A19">
      <w:pPr>
        <w:pStyle w:val="2"/>
        <w:ind w:firstLine="560"/>
        <w:rPr>
          <w:rFonts w:ascii="仿宋_GB2312" w:eastAsia="仿宋_GB2312" w:cs="宋体"/>
          <w:bCs/>
          <w:snapToGrid w:val="0"/>
          <w:kern w:val="0"/>
          <w:sz w:val="28"/>
          <w:szCs w:val="28"/>
        </w:rPr>
      </w:pPr>
    </w:p>
    <w:p w14:paraId="4F98430D">
      <w:pPr>
        <w:pStyle w:val="2"/>
        <w:ind w:left="0" w:leftChars="0" w:firstLine="0" w:firstLineChars="0"/>
        <w:rPr>
          <w:rFonts w:hint="eastAsia" w:ascii="仿宋_GB2312" w:eastAsia="仿宋_GB2312" w:cs="宋体"/>
          <w:bCs/>
          <w:snapToGrid w:val="0"/>
          <w:kern w:val="0"/>
          <w:sz w:val="28"/>
          <w:szCs w:val="28"/>
        </w:rPr>
      </w:pPr>
    </w:p>
    <w:p w14:paraId="1860E3CB">
      <w:pPr>
        <w:pStyle w:val="2"/>
        <w:ind w:firstLine="560"/>
        <w:rPr>
          <w:rFonts w:hint="eastAsia" w:ascii="仿宋_GB2312" w:eastAsia="仿宋_GB2312" w:cs="宋体"/>
          <w:bCs/>
          <w:snapToGrid w:val="0"/>
          <w:kern w:val="0"/>
          <w:sz w:val="28"/>
          <w:szCs w:val="28"/>
        </w:rPr>
      </w:pPr>
    </w:p>
    <w:p w14:paraId="751301C1">
      <w:pPr>
        <w:pStyle w:val="2"/>
        <w:ind w:firstLine="560"/>
        <w:rPr>
          <w:rFonts w:hint="eastAsia" w:ascii="仿宋_GB2312" w:eastAsia="仿宋_GB2312" w:cs="宋体"/>
          <w:bCs/>
          <w:snapToGrid w:val="0"/>
          <w:kern w:val="0"/>
          <w:sz w:val="28"/>
          <w:szCs w:val="28"/>
        </w:rPr>
      </w:pPr>
    </w:p>
    <w:p w14:paraId="31158B1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2、部门整体绩效目标设立情况</w:t>
      </w:r>
    </w:p>
    <w:p w14:paraId="054C4955">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（1）绩效目标设立依据</w:t>
      </w:r>
    </w:p>
    <w:p w14:paraId="4165FEC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国家政策导向：集团绩效目标的设定紧密围绕国家及地方政府关于民生保障、社会发展、环境保护等方面的政策导向，确保项目方向与国家政策保持一致。</w:t>
      </w:r>
    </w:p>
    <w:p w14:paraId="2633275C">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集团战略规划：基于集团中长期发展战略规划，结合当前经济形势和市场需求，明确部门在推动集团战略目标实现中的具体角色与任务。</w:t>
      </w:r>
    </w:p>
    <w:p w14:paraId="0519E88C">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社会需求与期望：深入调研社会民众对于民生项目的实际需求与期望，将其作为设定绩效目标的重要依据，确保项目能够真正惠及民生。</w:t>
      </w:r>
    </w:p>
    <w:p w14:paraId="62E6EB85">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（2）目标与职责任务匹配情况</w:t>
      </w:r>
    </w:p>
    <w:p w14:paraId="43D74E5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绩效目标与职责任务之间高度匹配和紧密关联。根据每个部门在集团中的任务与职责，制定了具体、可量化的绩效指标，确保绩效目标能够准确反映工作成效。同时，通过明确职责分工和任务分配，确保各部门之间能够协同作战，共同推动项目顺利实施。</w:t>
      </w:r>
    </w:p>
    <w:p w14:paraId="231311AC">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（3）目标合理性</w:t>
      </w:r>
    </w:p>
    <w:p w14:paraId="56FBA14B">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集团绩效目标的设定充分考虑了现实条件与可行性因素，在目标制定过程中进行了充分的地区实地调研、风险评估与资源评估，根据预算项目的具体情况和进度要求，制定合理的实施计划和绩效目标，细化绩效目标，完善考核流程，进一步提升预算项目的管理水平和绩效管理的精细化程度。</w:t>
      </w:r>
    </w:p>
    <w:p w14:paraId="08A41452">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（二）当年预算执行情况</w:t>
      </w:r>
    </w:p>
    <w:p w14:paraId="36223513">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lang w:val="en-US" w:eastAsia="zh-CN"/>
        </w:rPr>
        <w:t>2024年全年预算数17441.389817</w:t>
      </w:r>
      <w:r>
        <w:rPr>
          <w:rFonts w:hint="eastAsia" w:ascii="仿宋_GB2312" w:eastAsia="仿宋_GB2312" w:cs="宋体"/>
          <w:bCs/>
          <w:snapToGrid w:val="0"/>
          <w:kern w:val="0"/>
          <w:sz w:val="28"/>
          <w:szCs w:val="28"/>
        </w:rPr>
        <w:t>万元</w:t>
      </w:r>
      <w:r>
        <w:rPr>
          <w:rFonts w:hint="eastAsia" w:ascii="仿宋_GB2312" w:eastAsia="仿宋_GB2312" w:cs="宋体"/>
          <w:bCs/>
          <w:snapToGrid w:val="0"/>
          <w:kern w:val="0"/>
          <w:sz w:val="28"/>
          <w:szCs w:val="28"/>
          <w:lang w:eastAsia="zh-CN"/>
        </w:rPr>
        <w:t>，其中，基本支出预算数0万元，项目支出预算数</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lang w:eastAsia="zh-CN"/>
        </w:rPr>
        <w:t>万元，其他支出预算数0万元。</w:t>
      </w:r>
      <w:r>
        <w:rPr>
          <w:rFonts w:hint="eastAsia" w:ascii="仿宋_GB2312" w:eastAsia="仿宋_GB2312" w:cs="宋体"/>
          <w:bCs/>
          <w:snapToGrid w:val="0"/>
          <w:kern w:val="0"/>
          <w:sz w:val="28"/>
          <w:szCs w:val="28"/>
        </w:rPr>
        <w:t>资金总体支出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万元，其中，基本支出0万元，项目支出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万元，其他支出0万元。预算执行率为100%。</w:t>
      </w:r>
    </w:p>
    <w:p w14:paraId="2BB682FA">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（三）整体绩效目标实现情况</w:t>
      </w:r>
    </w:p>
    <w:p w14:paraId="407F300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1、产出完成情况分析</w:t>
      </w:r>
    </w:p>
    <w:p w14:paraId="46E9B967">
      <w:pPr>
        <w:pStyle w:val="2"/>
        <w:ind w:firstLine="560"/>
        <w:rPr>
          <w:rFonts w:ascii="仿宋_GB2312" w:eastAsia="仿宋_GB2312" w:cs="宋体"/>
          <w:bCs/>
          <w:snapToGrid w:val="0"/>
          <w:kern w:val="0"/>
          <w:sz w:val="28"/>
          <w:szCs w:val="28"/>
        </w:rPr>
      </w:pPr>
      <w:r>
        <w:rPr>
          <w:rFonts w:hint="eastAsia" w:ascii="仿宋_GB2312" w:eastAsia="仿宋_GB2312" w:cs="宋体"/>
          <w:bCs/>
          <w:snapToGrid w:val="0"/>
          <w:kern w:val="0"/>
          <w:sz w:val="28"/>
          <w:szCs w:val="28"/>
        </w:rPr>
        <w:t>（1）产出数量</w:t>
      </w:r>
    </w:p>
    <w:p w14:paraId="77FD0579">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集团圆满完成了</w:t>
      </w:r>
      <w:r>
        <w:rPr>
          <w:rFonts w:hint="eastAsia" w:ascii="仿宋_GB2312" w:eastAsia="仿宋_GB2312" w:cs="宋体"/>
          <w:bCs/>
          <w:snapToGrid w:val="0"/>
          <w:kern w:val="0"/>
          <w:sz w:val="28"/>
          <w:szCs w:val="28"/>
          <w:lang w:val="en-US" w:eastAsia="zh-CN"/>
        </w:rPr>
        <w:t>2024年度</w:t>
      </w:r>
      <w:r>
        <w:rPr>
          <w:rFonts w:hint="eastAsia" w:ascii="仿宋_GB2312" w:eastAsia="仿宋_GB2312" w:cs="宋体"/>
          <w:bCs/>
          <w:snapToGrid w:val="0"/>
          <w:kern w:val="0"/>
          <w:sz w:val="28"/>
          <w:szCs w:val="28"/>
        </w:rPr>
        <w:t>的各项</w:t>
      </w:r>
      <w:r>
        <w:rPr>
          <w:rFonts w:hint="eastAsia" w:ascii="仿宋_GB2312" w:eastAsia="仿宋_GB2312" w:cs="宋体"/>
          <w:bCs/>
          <w:snapToGrid w:val="0"/>
          <w:kern w:val="0"/>
          <w:sz w:val="28"/>
          <w:szCs w:val="28"/>
          <w:lang w:val="en-US" w:eastAsia="zh-CN"/>
        </w:rPr>
        <w:t>工作任务和目标</w:t>
      </w:r>
      <w:r>
        <w:rPr>
          <w:rFonts w:hint="eastAsia" w:ascii="仿宋_GB2312" w:eastAsia="仿宋_GB2312" w:cs="宋体"/>
          <w:bCs/>
          <w:snapToGrid w:val="0"/>
          <w:kern w:val="0"/>
          <w:sz w:val="28"/>
          <w:szCs w:val="28"/>
        </w:rPr>
        <w:t>，</w:t>
      </w:r>
      <w:r>
        <w:rPr>
          <w:rFonts w:hint="eastAsia" w:ascii="仿宋_GB2312" w:eastAsia="仿宋_GB2312" w:cs="宋体"/>
          <w:bCs/>
          <w:snapToGrid w:val="0"/>
          <w:kern w:val="0"/>
          <w:sz w:val="28"/>
          <w:szCs w:val="28"/>
          <w:lang w:val="en-US" w:eastAsia="zh-CN"/>
        </w:rPr>
        <w:t>进行了13个预算项目建设，</w:t>
      </w:r>
      <w:r>
        <w:rPr>
          <w:rFonts w:hint="eastAsia" w:ascii="仿宋_GB2312" w:eastAsia="仿宋_GB2312" w:cs="宋体"/>
          <w:bCs/>
          <w:snapToGrid w:val="0"/>
          <w:kern w:val="0"/>
          <w:sz w:val="28"/>
          <w:szCs w:val="28"/>
        </w:rPr>
        <w:t>项目支出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w:t>
      </w:r>
      <w:r>
        <w:rPr>
          <w:rFonts w:hint="eastAsia" w:ascii="仿宋_GB2312" w:eastAsia="仿宋_GB2312" w:cs="宋体"/>
          <w:bCs/>
          <w:snapToGrid w:val="0"/>
          <w:kern w:val="0"/>
          <w:sz w:val="28"/>
          <w:szCs w:val="28"/>
          <w:lang w:val="en-US" w:eastAsia="zh-CN"/>
        </w:rPr>
        <w:t>通过项目的实施，</w:t>
      </w:r>
      <w:r>
        <w:rPr>
          <w:rFonts w:hint="eastAsia" w:ascii="仿宋_GB2312" w:eastAsia="仿宋_GB2312" w:cs="宋体"/>
          <w:bCs/>
          <w:snapToGrid w:val="0"/>
          <w:kern w:val="0"/>
          <w:sz w:val="28"/>
          <w:szCs w:val="28"/>
        </w:rPr>
        <w:t>改善了居民的居住环境，提升了城市形象。</w:t>
      </w:r>
    </w:p>
    <w:p w14:paraId="150820C9">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（2）产出质量</w:t>
      </w:r>
    </w:p>
    <w:p w14:paraId="67922E2D">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在项目实施过程中，集团始终坚持高标准、严要求，确保工程质量。通过引入第三方评估机构、加强过程监管等措施，项目的建设质量和运行效果均达到了预期目标，赢得了社会各界的广泛认可。</w:t>
      </w:r>
    </w:p>
    <w:p w14:paraId="5381137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（3）产出进度</w:t>
      </w:r>
    </w:p>
    <w:p w14:paraId="5B955812">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面对民生项目时间紧、任务重的挑战，集团通过优化项目管理流程、加强团队合作协作、完善项目管理体系，制定详细进度计划、加强施工过程监控和及时调整进度安排等措施，确保了所有项目均按计划顺利推进。</w:t>
      </w:r>
    </w:p>
    <w:p w14:paraId="2DB66A6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 xml:space="preserve">（4）产出成本     </w:t>
      </w:r>
    </w:p>
    <w:p w14:paraId="55D5F05A">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在成本控制方面，集团充分考虑项目的性质，通过优化设计方案、降低生产成本、提高资源的利用效率等方式，有效控制了项目成本。通过成本管理，所有项目支出均未超过年初预算金额。</w:t>
      </w:r>
    </w:p>
    <w:p w14:paraId="26FD4BF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2.效果实现情况分析</w:t>
      </w:r>
    </w:p>
    <w:p w14:paraId="5864CCB6">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（1）经济效益</w:t>
      </w:r>
    </w:p>
    <w:p w14:paraId="467D79EC">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在项目管理和实施过程中，集团通过优化资源配置、提高管理效率、降低生产成本等措施，实现了资源的有效利用和成本的进一步降低。在一定程度上减少了政府财政负担，并为政府节约了大量资金，可视为间接的经济效益。此外，通过项目实施带来的基础设施改善、环境提升等，也有助于吸引投资和促进地方经济发展，进而产生更广泛的经济效益。</w:t>
      </w:r>
    </w:p>
    <w:p w14:paraId="4327A5F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（2）社会效益</w:t>
      </w:r>
    </w:p>
    <w:p w14:paraId="07391AA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作为国有企业，集团始终将社会效益放在首位。通过实施一系列政府民生类项目，如平房翻建、公益性设施建设、户厕保洁等，切实解决了群众生活中的实际问题，提高了居民的生活质量和幸福感。</w:t>
      </w:r>
      <w:r>
        <w:rPr>
          <w:rFonts w:hint="eastAsia" w:ascii="仿宋_GB2312" w:eastAsia="仿宋_GB2312" w:cs="宋体"/>
          <w:bCs/>
          <w:snapToGrid w:val="0"/>
          <w:kern w:val="0"/>
          <w:sz w:val="28"/>
          <w:szCs w:val="28"/>
          <w:lang w:val="en-US" w:eastAsia="zh-CN"/>
        </w:rPr>
        <w:t>通过</w:t>
      </w:r>
      <w:r>
        <w:rPr>
          <w:rFonts w:hint="eastAsia" w:ascii="仿宋_GB2312" w:eastAsia="仿宋_GB2312" w:cs="宋体"/>
          <w:bCs/>
          <w:snapToGrid w:val="0"/>
          <w:kern w:val="0"/>
          <w:sz w:val="28"/>
          <w:szCs w:val="28"/>
        </w:rPr>
        <w:t>这些项目的实施，对于促进社会稳定、增进民生福祉、提升政府形象等方面都产生了显著的社会效益。</w:t>
      </w:r>
    </w:p>
    <w:p w14:paraId="737DB208">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（3）环境效益</w:t>
      </w:r>
    </w:p>
    <w:p w14:paraId="28CF68A3">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在项目实施过程中，集团注重环境保护与生态建设，积极响应国家环保政策，将绿色发展理念融入项目管理和业务运营中。通过采用环保材料、实施节能减排措施、加强生态环境保护等方式，降低了项目实施对环境的影响和破坏。这些工作积极助力北京构建绿色生态城市，为推动行业绿色发展做出了积极贡献。</w:t>
      </w:r>
    </w:p>
    <w:p w14:paraId="49E558B0">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（4）可持续性影响</w:t>
      </w:r>
    </w:p>
    <w:p w14:paraId="7C949DF0">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在项目规划、设计、实施及后期管理等方面，均充分考虑了项目的可持续性。通过引入先进的设计理念和技术手段、加强后期维护和管理等方式，确保了项目的长期稳定运行和效益的持续发挥。集团还注重与当地社区和居民建立长期合作关系，共同推动项目的可持续发展。</w:t>
      </w:r>
    </w:p>
    <w:p w14:paraId="0AC877B5">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（5）服务对象满意度</w:t>
      </w:r>
    </w:p>
    <w:p w14:paraId="347C3AEA">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始终坚持以人民为中心的发展思想，将服务对象的满意度作为衡量工作成效的重要标准。通过建立健全的群众反馈机制、开展满意度调查等方式，集团及时了解并回应群众的需求和关切。这些措施使得当地居民对集团的工作给予了高度评价和支持。</w:t>
      </w:r>
    </w:p>
    <w:p w14:paraId="1625D33D">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（四）预算管理情况分析</w:t>
      </w:r>
    </w:p>
    <w:p w14:paraId="6B2F3D0F">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1、财务管理</w:t>
      </w:r>
    </w:p>
    <w:p w14:paraId="7B714300">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（1）财务管理制度健全性</w:t>
      </w:r>
    </w:p>
    <w:p w14:paraId="58F5D4FE">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集团依据国家、北京市和西城区发布的相关法律法规及文件精神，制定了“三重一大”、采购管理、财务管理、工程管理、绩效考评等相关制度。通过上述制度的执行加强预算</w:t>
      </w:r>
      <w:r>
        <w:rPr>
          <w:rFonts w:hint="eastAsia" w:ascii="仿宋_GB2312" w:eastAsia="仿宋_GB2312" w:cs="宋体"/>
          <w:bCs/>
          <w:snapToGrid w:val="0"/>
          <w:kern w:val="0"/>
          <w:sz w:val="28"/>
          <w:szCs w:val="28"/>
          <w:lang w:val="en-US" w:eastAsia="zh-CN"/>
        </w:rPr>
        <w:t>支出</w:t>
      </w:r>
      <w:r>
        <w:rPr>
          <w:rFonts w:hint="eastAsia" w:ascii="仿宋_GB2312" w:eastAsia="仿宋_GB2312" w:cs="宋体"/>
          <w:bCs/>
          <w:snapToGrid w:val="0"/>
          <w:kern w:val="0"/>
          <w:sz w:val="28"/>
          <w:szCs w:val="28"/>
        </w:rPr>
        <w:t>管控，保障每一笔资金花在实处。同时根据制度执行过程中出现的问题，不断健全完善相关制度建设。</w:t>
      </w:r>
    </w:p>
    <w:p w14:paraId="3D8F8C46">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（2）资金使用合规性和安全性</w:t>
      </w:r>
    </w:p>
    <w:p w14:paraId="59DDE2A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集团在每年年初编制资金收入支出预算，对于本年预计发生的资金支出进行整体把控。</w:t>
      </w:r>
      <w:r>
        <w:rPr>
          <w:rFonts w:hint="eastAsia" w:ascii="仿宋_GB2312" w:eastAsia="仿宋_GB2312" w:cs="宋体"/>
          <w:bCs/>
          <w:snapToGrid w:val="0"/>
          <w:kern w:val="0"/>
          <w:sz w:val="28"/>
          <w:szCs w:val="28"/>
          <w:lang w:val="en-US" w:eastAsia="zh-CN"/>
        </w:rPr>
        <w:t>在</w:t>
      </w:r>
      <w:r>
        <w:rPr>
          <w:rFonts w:hint="eastAsia" w:ascii="仿宋_GB2312" w:eastAsia="仿宋_GB2312" w:cs="宋体"/>
          <w:bCs/>
          <w:snapToGrid w:val="0"/>
          <w:kern w:val="0"/>
          <w:sz w:val="28"/>
          <w:szCs w:val="28"/>
        </w:rPr>
        <w:t>资金实际支出过程中，根据财务管理制度进行审核。针对预算内项目通过各级部门审批保障资金支出的合规性。各类支出通过对对方单位信息核实、</w:t>
      </w:r>
      <w:r>
        <w:rPr>
          <w:rFonts w:hint="eastAsia" w:ascii="仿宋_GB2312" w:eastAsia="仿宋_GB2312" w:cs="宋体"/>
          <w:bCs/>
          <w:snapToGrid w:val="0"/>
          <w:kern w:val="0"/>
          <w:sz w:val="28"/>
          <w:szCs w:val="28"/>
          <w:lang w:val="en-US" w:eastAsia="zh-CN"/>
        </w:rPr>
        <w:t>双</w:t>
      </w:r>
      <w:r>
        <w:rPr>
          <w:rFonts w:hint="eastAsia" w:ascii="仿宋_GB2312" w:eastAsia="仿宋_GB2312" w:cs="宋体"/>
          <w:bCs/>
          <w:snapToGrid w:val="0"/>
          <w:kern w:val="0"/>
          <w:sz w:val="28"/>
          <w:szCs w:val="28"/>
        </w:rPr>
        <w:t>人复核、对公转账、发票查验等方式保障资金支出的安全性。</w:t>
      </w:r>
    </w:p>
    <w:p w14:paraId="501CF1E2">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（3）会计基础信息完善性</w:t>
      </w:r>
    </w:p>
    <w:p w14:paraId="76C5287B">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集团通过引入财务软件辅助核算功能，将各项支出细分至不同项目、不同部门、不同供应商细化核算，同时严格按照会计准则规定出具财务报表，以加强会计基础信息完善性。</w:t>
      </w:r>
    </w:p>
    <w:p w14:paraId="0E058D6A">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2、资产管理</w:t>
      </w:r>
    </w:p>
    <w:p w14:paraId="6C9D4AE9">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集团通过制定财务管理办法、固定资产管理办法、自有房产管理办法等相关制度。完善资产管理账簿，明确国有资产权属，加强对国有资产的管理。</w:t>
      </w:r>
    </w:p>
    <w:p w14:paraId="12044031">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3、绩效管理</w:t>
      </w:r>
    </w:p>
    <w:p w14:paraId="13FB9D47">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集团通过制定绩效考核办法，规范负责人及员工绩效管理工作，提高工作效率，促进企业发展，加强对单位</w:t>
      </w:r>
      <w:r>
        <w:rPr>
          <w:rFonts w:hint="eastAsia" w:ascii="仿宋_GB2312" w:eastAsia="仿宋_GB2312" w:cs="宋体"/>
          <w:bCs/>
          <w:snapToGrid w:val="0"/>
          <w:kern w:val="0"/>
          <w:sz w:val="28"/>
          <w:szCs w:val="28"/>
          <w:lang w:val="en-US" w:eastAsia="zh-CN"/>
        </w:rPr>
        <w:t>和预算项目</w:t>
      </w:r>
      <w:r>
        <w:rPr>
          <w:rFonts w:hint="eastAsia" w:ascii="仿宋_GB2312" w:eastAsia="仿宋_GB2312" w:cs="宋体"/>
          <w:bCs/>
          <w:snapToGrid w:val="0"/>
          <w:kern w:val="0"/>
          <w:sz w:val="28"/>
          <w:szCs w:val="28"/>
        </w:rPr>
        <w:t>的绩效管理。通过明确考核内容、量化考核指标等方式，从</w:t>
      </w:r>
      <w:r>
        <w:rPr>
          <w:rFonts w:hint="eastAsia" w:ascii="仿宋_GB2312" w:eastAsia="仿宋_GB2312" w:cs="宋体"/>
          <w:bCs/>
          <w:snapToGrid w:val="0"/>
          <w:kern w:val="0"/>
          <w:sz w:val="28"/>
          <w:szCs w:val="28"/>
          <w:lang w:val="en-US" w:eastAsia="zh-CN"/>
        </w:rPr>
        <w:t>产出效益</w:t>
      </w:r>
      <w:r>
        <w:rPr>
          <w:rFonts w:hint="eastAsia" w:ascii="仿宋_GB2312" w:eastAsia="仿宋_GB2312" w:cs="宋体"/>
          <w:bCs/>
          <w:snapToGrid w:val="0"/>
          <w:kern w:val="0"/>
          <w:sz w:val="28"/>
          <w:szCs w:val="28"/>
        </w:rPr>
        <w:t>、工作质量、责任落实、工作效率等</w:t>
      </w:r>
      <w:r>
        <w:rPr>
          <w:rFonts w:hint="eastAsia" w:ascii="仿宋_GB2312" w:eastAsia="仿宋_GB2312" w:cs="宋体"/>
          <w:bCs/>
          <w:snapToGrid w:val="0"/>
          <w:kern w:val="0"/>
          <w:sz w:val="28"/>
          <w:szCs w:val="28"/>
          <w:lang w:val="en-US" w:eastAsia="zh-CN"/>
        </w:rPr>
        <w:t>方面</w:t>
      </w:r>
      <w:r>
        <w:rPr>
          <w:rFonts w:hint="eastAsia" w:ascii="仿宋_GB2312" w:eastAsia="仿宋_GB2312" w:cs="宋体"/>
          <w:bCs/>
          <w:snapToGrid w:val="0"/>
          <w:kern w:val="0"/>
          <w:sz w:val="28"/>
          <w:szCs w:val="28"/>
        </w:rPr>
        <w:t>进行绩效考评，并在考评过程中不断完善考评制度，</w:t>
      </w:r>
      <w:r>
        <w:rPr>
          <w:rFonts w:hint="eastAsia" w:ascii="仿宋_GB2312" w:eastAsia="仿宋_GB2312" w:cs="宋体"/>
          <w:bCs/>
          <w:snapToGrid w:val="0"/>
          <w:kern w:val="0"/>
          <w:sz w:val="28"/>
          <w:szCs w:val="28"/>
          <w:lang w:val="en-US" w:eastAsia="zh-CN"/>
        </w:rPr>
        <w:t>提高绩效</w:t>
      </w:r>
      <w:r>
        <w:rPr>
          <w:rFonts w:hint="eastAsia" w:ascii="仿宋_GB2312" w:eastAsia="仿宋_GB2312" w:cs="宋体"/>
          <w:bCs/>
          <w:snapToGrid w:val="0"/>
          <w:kern w:val="0"/>
          <w:sz w:val="28"/>
          <w:szCs w:val="28"/>
        </w:rPr>
        <w:t>考评</w:t>
      </w:r>
      <w:r>
        <w:rPr>
          <w:rFonts w:hint="eastAsia" w:ascii="仿宋_GB2312" w:eastAsia="仿宋_GB2312" w:cs="宋体"/>
          <w:bCs/>
          <w:snapToGrid w:val="0"/>
          <w:kern w:val="0"/>
          <w:sz w:val="28"/>
          <w:szCs w:val="28"/>
          <w:lang w:val="en-US" w:eastAsia="zh-CN"/>
        </w:rPr>
        <w:t>工作的精细化程度</w:t>
      </w:r>
      <w:r>
        <w:rPr>
          <w:rFonts w:hint="eastAsia" w:ascii="仿宋_GB2312" w:eastAsia="仿宋_GB2312" w:cs="宋体"/>
          <w:bCs/>
          <w:snapToGrid w:val="0"/>
          <w:kern w:val="0"/>
          <w:sz w:val="28"/>
          <w:szCs w:val="28"/>
        </w:rPr>
        <w:t>。</w:t>
      </w:r>
    </w:p>
    <w:p w14:paraId="4C8204D9">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4、结转结余率</w:t>
      </w:r>
    </w:p>
    <w:p w14:paraId="4E56D70F">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lang w:eastAsia="zh-CN"/>
        </w:rPr>
        <w:t>2024</w:t>
      </w:r>
      <w:r>
        <w:rPr>
          <w:rFonts w:hint="eastAsia" w:ascii="仿宋_GB2312" w:eastAsia="仿宋_GB2312" w:cs="宋体"/>
          <w:bCs/>
          <w:snapToGrid w:val="0"/>
          <w:kern w:val="0"/>
          <w:sz w:val="28"/>
          <w:szCs w:val="28"/>
        </w:rPr>
        <w:t>年</w:t>
      </w:r>
      <w:r>
        <w:rPr>
          <w:rFonts w:hint="eastAsia" w:ascii="仿宋_GB2312" w:eastAsia="仿宋_GB2312" w:cs="宋体"/>
          <w:bCs/>
          <w:snapToGrid w:val="0"/>
          <w:kern w:val="0"/>
          <w:sz w:val="28"/>
          <w:szCs w:val="28"/>
          <w:lang w:val="en-US" w:eastAsia="zh-CN"/>
        </w:rPr>
        <w:t>全年</w:t>
      </w:r>
      <w:r>
        <w:rPr>
          <w:rFonts w:hint="eastAsia" w:ascii="仿宋_GB2312" w:eastAsia="仿宋_GB2312" w:cs="宋体"/>
          <w:bCs/>
          <w:snapToGrid w:val="0"/>
          <w:kern w:val="0"/>
          <w:sz w:val="28"/>
          <w:szCs w:val="28"/>
        </w:rPr>
        <w:t>预算数</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万元，实际支出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万元，结转结余资金0.00万元。结转结余率为0。</w:t>
      </w:r>
    </w:p>
    <w:p w14:paraId="2BD55321">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5.部门预决算差异率</w:t>
      </w:r>
    </w:p>
    <w:p w14:paraId="004DD092">
      <w:pPr>
        <w:pStyle w:val="2"/>
        <w:ind w:firstLine="560"/>
        <w:rPr>
          <w:rFonts w:hint="default" w:ascii="仿宋_GB2312" w:eastAsia="仿宋_GB2312" w:cs="宋体"/>
          <w:bCs/>
          <w:snapToGrid w:val="0"/>
          <w:kern w:val="0"/>
          <w:sz w:val="28"/>
          <w:szCs w:val="28"/>
          <w:lang w:val="en-US" w:eastAsia="zh-CN"/>
        </w:rPr>
      </w:pPr>
      <w:r>
        <w:rPr>
          <w:rFonts w:hint="eastAsia" w:ascii="仿宋_GB2312" w:eastAsia="仿宋_GB2312" w:cs="宋体"/>
          <w:bCs/>
          <w:snapToGrid w:val="0"/>
          <w:kern w:val="0"/>
          <w:sz w:val="28"/>
          <w:szCs w:val="28"/>
          <w:lang w:eastAsia="zh-CN"/>
        </w:rPr>
        <w:t>2024</w:t>
      </w:r>
      <w:r>
        <w:rPr>
          <w:rFonts w:hint="eastAsia" w:ascii="仿宋_GB2312" w:eastAsia="仿宋_GB2312" w:cs="宋体"/>
          <w:bCs/>
          <w:snapToGrid w:val="0"/>
          <w:kern w:val="0"/>
          <w:sz w:val="28"/>
          <w:szCs w:val="28"/>
        </w:rPr>
        <w:t>年全年预算数</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万元，其中，基本支出预算数0万元，项目支出预算数</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万元，其他支出预算数0万元。资金总体支出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万元，其中，基本支出0万元，项目支出</w:t>
      </w:r>
      <w:r>
        <w:rPr>
          <w:rFonts w:hint="eastAsia" w:ascii="仿宋_GB2312" w:eastAsia="仿宋_GB2312" w:cs="宋体"/>
          <w:bCs/>
          <w:snapToGrid w:val="0"/>
          <w:kern w:val="0"/>
          <w:sz w:val="28"/>
          <w:szCs w:val="28"/>
          <w:lang w:val="en-US" w:eastAsia="zh-CN"/>
        </w:rPr>
        <w:t>17441.389817</w:t>
      </w:r>
      <w:r>
        <w:rPr>
          <w:rFonts w:hint="eastAsia" w:ascii="仿宋_GB2312" w:eastAsia="仿宋_GB2312" w:cs="宋体"/>
          <w:bCs/>
          <w:snapToGrid w:val="0"/>
          <w:kern w:val="0"/>
          <w:sz w:val="28"/>
          <w:szCs w:val="28"/>
        </w:rPr>
        <w:t>万元，其他支出0万元。预决算</w:t>
      </w:r>
      <w:r>
        <w:rPr>
          <w:rFonts w:hint="eastAsia" w:ascii="仿宋_GB2312" w:eastAsia="仿宋_GB2312" w:cs="宋体"/>
          <w:bCs/>
          <w:snapToGrid w:val="0"/>
          <w:kern w:val="0"/>
          <w:sz w:val="28"/>
          <w:szCs w:val="28"/>
          <w:lang w:val="en-US" w:eastAsia="zh-CN"/>
        </w:rPr>
        <w:t>差异率为0。</w:t>
      </w:r>
    </w:p>
    <w:p w14:paraId="39356AF6">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（五）总体评价结论</w:t>
      </w:r>
    </w:p>
    <w:p w14:paraId="1D2DC845">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lang w:eastAsia="zh-CN"/>
        </w:rPr>
        <w:t>2024</w:t>
      </w:r>
      <w:r>
        <w:rPr>
          <w:rFonts w:hint="eastAsia" w:ascii="仿宋_GB2312" w:eastAsia="仿宋_GB2312" w:cs="宋体"/>
          <w:bCs/>
          <w:snapToGrid w:val="0"/>
          <w:kern w:val="0"/>
          <w:sz w:val="28"/>
          <w:szCs w:val="28"/>
        </w:rPr>
        <w:t>年集团各个项目均按要求完成数量指标、质量指标、进度指标、成本指标、效益指标和服务对象满意度指标等各项绩效目标，项目效果达到预期水平。</w:t>
      </w:r>
    </w:p>
    <w:p w14:paraId="0073BC4C">
      <w:pPr>
        <w:pStyle w:val="2"/>
        <w:numPr>
          <w:ilvl w:val="0"/>
          <w:numId w:val="2"/>
        </w:numPr>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措施建议</w:t>
      </w:r>
    </w:p>
    <w:p w14:paraId="07A81581">
      <w:pPr>
        <w:pStyle w:val="2"/>
        <w:ind w:firstLine="560"/>
        <w:rPr>
          <w:rFonts w:hint="eastAsia" w:ascii="仿宋_GB2312" w:eastAsia="仿宋_GB2312" w:cs="宋体"/>
          <w:bCs/>
          <w:snapToGrid w:val="0"/>
          <w:kern w:val="0"/>
          <w:sz w:val="28"/>
          <w:szCs w:val="28"/>
        </w:rPr>
      </w:pPr>
      <w:r>
        <w:rPr>
          <w:rFonts w:hint="eastAsia" w:ascii="仿宋_GB2312" w:eastAsia="仿宋_GB2312" w:cs="宋体"/>
          <w:bCs/>
          <w:snapToGrid w:val="0"/>
          <w:kern w:val="0"/>
          <w:sz w:val="28"/>
          <w:szCs w:val="28"/>
        </w:rPr>
        <w:t>在绩效管理中集团还存在一些不足，如项目绩效管理精细化程度不够，对项目资金需求掌握不及时等。集团将进一步改进措施，加强项目资金使用进度管理，在项目管理中综合考虑各种影响因素，统筹推进项目开展，提升项目绩效管理科学化、精细化水平。</w:t>
      </w:r>
    </w:p>
    <w:p w14:paraId="5634FFF6">
      <w:pPr>
        <w:pStyle w:val="2"/>
        <w:ind w:left="0" w:leftChars="0" w:firstLine="0" w:firstLineChars="0"/>
        <w:rPr>
          <w:rFonts w:hint="eastAsia" w:ascii="仿宋_GB2312" w:eastAsia="仿宋_GB2312" w:cs="宋体"/>
          <w:bCs/>
          <w:snapToGrid w:val="0"/>
          <w:kern w:val="0"/>
          <w:sz w:val="28"/>
          <w:szCs w:val="28"/>
          <w:lang w:eastAsia="zh-CN"/>
        </w:rPr>
      </w:pPr>
    </w:p>
    <w:p w14:paraId="042402B0">
      <w:pPr>
        <w:pStyle w:val="2"/>
        <w:ind w:left="0" w:leftChars="0" w:firstLine="0" w:firstLineChars="0"/>
        <w:rPr>
          <w:rFonts w:hint="eastAsia" w:ascii="仿宋_GB2312" w:eastAsia="仿宋_GB2312" w:cs="宋体"/>
          <w:bCs/>
          <w:snapToGrid w:val="0"/>
          <w:kern w:val="0"/>
          <w:sz w:val="28"/>
          <w:szCs w:val="28"/>
          <w:lang w:eastAsia="zh-CN"/>
        </w:rPr>
      </w:pPr>
    </w:p>
    <w:p w14:paraId="50E05D83">
      <w:pPr>
        <w:rPr>
          <w:rFonts w:hint="eastAsia"/>
          <w:lang w:eastAsia="zh-CN"/>
        </w:rPr>
      </w:pPr>
    </w:p>
    <w:p w14:paraId="02290299">
      <w:pPr>
        <w:ind w:firstLine="560" w:firstLineChars="200"/>
        <w:jc w:val="both"/>
        <w:rPr>
          <w:rFonts w:ascii="黑体" w:eastAsia="黑体"/>
          <w:sz w:val="28"/>
          <w:szCs w:val="28"/>
        </w:rPr>
      </w:pPr>
      <w:r>
        <w:rPr>
          <w:rFonts w:hint="eastAsia" w:ascii="黑体" w:hAnsi="Times New Roman" w:eastAsia="黑体" w:cs="Times New Roman"/>
          <w:kern w:val="2"/>
          <w:sz w:val="28"/>
          <w:szCs w:val="28"/>
          <w:lang w:val="en-US" w:eastAsia="zh-CN" w:bidi="ar-SA"/>
        </w:rPr>
        <w:t>二、</w:t>
      </w:r>
      <w:r>
        <w:rPr>
          <w:rFonts w:hint="eastAsia" w:ascii="黑体" w:eastAsia="黑体"/>
          <w:sz w:val="28"/>
          <w:szCs w:val="28"/>
        </w:rPr>
        <w:t>项目支出绩效评价报告</w:t>
      </w:r>
      <w:r>
        <w:rPr>
          <w:rFonts w:hint="eastAsia" w:ascii="仿宋_GB2312" w:hAnsi="仿宋_GB2312" w:eastAsia="仿宋_GB2312" w:cs="仿宋_GB2312"/>
          <w:sz w:val="28"/>
          <w:szCs w:val="28"/>
        </w:rPr>
        <w:t>（202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年西城区平房院户厕保洁</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w:t>
      </w:r>
    </w:p>
    <w:p w14:paraId="58594D10">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（一）部门概况</w:t>
      </w:r>
    </w:p>
    <w:p w14:paraId="659A9B3D">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1、机构设置及职责工作任务情况</w:t>
      </w:r>
    </w:p>
    <w:p w14:paraId="02006464">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北京德源兴业投资管理集团有限公司受西城区政府授权承接西城区平房院已升级改造户厕的保洁与管理项目，为确保户厕保洁与管理工作的顺利开展，北京德源兴业投资管理集团有限公司成立“户厕保洁管理项目领导小组”（以下简称“领导小组”），由德源集团下属北京德源佳德置业有限公司具体负责户厕保洁服务与安全管理工作。</w:t>
      </w:r>
    </w:p>
    <w:p w14:paraId="5B30967B">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（1）领导小组组长：德源集团副总经理，负责户厕保洁管理项目总统筹；</w:t>
      </w:r>
    </w:p>
    <w:p w14:paraId="12A32A2F">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北京德源佳德置业有限公司：负责落实户厕保洁、管理等日常工作，确保完成年度绩效考核任务指标；负责户厕保洁管理项目的安全管理工作，确保户厕使用安全；负责落实行业主管部门、领导小组交办的其他任务；</w:t>
      </w:r>
    </w:p>
    <w:p w14:paraId="03A78C00">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佳德置业公司下设项目管理部、技术工程部、综合办公室、党群工作部、计划财务部、市场经营部等6个部门。</w:t>
      </w:r>
    </w:p>
    <w:p w14:paraId="43FE6473">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(3)德源集团工程管理部：负责协调佳德置业与属地直管公房管理单位之间的关系，推进公房性质的户厕点位房屋修缮工作；与安全管理部共同对佳德置业公司的户厕点位安全制度执行情况进行定期检查；</w:t>
      </w:r>
    </w:p>
    <w:p w14:paraId="7313BE15">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(4）德源集团安全管理部：负责与工程管理部共同对佳德置业公司的户厕点位安全制度执行情况进行定期检查；</w:t>
      </w:r>
    </w:p>
    <w:p w14:paraId="234606DA">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（5）德源集团财务管理部：负责审核佳德置业公司合同执行情况，并按照合同约定进行拨款；</w:t>
      </w:r>
    </w:p>
    <w:p w14:paraId="0CB64DB2">
      <w:pPr>
        <w:pStyle w:val="2"/>
        <w:ind w:left="0" w:leftChars="0"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（6）各属地房管公司：负责开展对佳德置业公司所管理的公房性质户厕点位的查房、翻建及房屋主体结构的修缮工作。</w:t>
      </w:r>
    </w:p>
    <w:p w14:paraId="3C0A1228">
      <w:pPr>
        <w:numPr>
          <w:ilvl w:val="0"/>
          <w:numId w:val="0"/>
        </w:num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2、部门整体绩效目标设立情况（包括绩效目标设立依据、目标与职责任务匹配情况、目标合理性等）</w:t>
      </w:r>
    </w:p>
    <w:p w14:paraId="45DF68A8">
      <w:pPr>
        <w:numPr>
          <w:ilvl w:val="0"/>
          <w:numId w:val="0"/>
        </w:num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（1）绩效目标的设立依据</w:t>
      </w:r>
    </w:p>
    <w:p w14:paraId="3C473E99">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随着平房院落户厕升级改造工程的进行和街巷胡同综合改造修缮工程的全面推进，居民群众的如厕硬件条件得到了根本的改善，但是户厕的软件条件，也就是环境的保洁、维护和管理还相对滞后，未从根本上提高居民群众的生活品质。</w:t>
      </w:r>
    </w:p>
    <w:p w14:paraId="33CD0E20">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2007年8月，《西城区房屋土地经营管理中心关于户厕改造后出现问题的情况报告》得到了时任副区长王劭卿同志的批复，要求西城区房屋土地经营管理中心（以下简称“房地中心”，2017年12月转制为北京德源兴业投资管理集团有限公司，以下简称“德源集团”）与区市政管委合作对户厕的管理问题进行调研。2007年的8、9月份，王岐山市长就内参中关于《北京的文明形象还需改进》和《香港媒体评述与北京奥运会相关的几个问题》的信息予以批示：“我市公厕从规划、建设到维护均是个关系民生和城市形象的大问题，要不懈的努力！”为落实王岐山同志指示，赵凤桐副市长8月份亲自到西城区调研了平房院内户厕情况，对此类厕所改造和今后的管理提出了要求。北京市在市政管委组织对东、西、文、武四城区平房区公厕情况进行调研的基础上，将平房区院内公厕改造及后续管理列入了2008年为民办实事工程。</w:t>
      </w:r>
    </w:p>
    <w:p w14:paraId="21628AED">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针对改造完毕的平房院户厕的保洁与管理问题，房地中心提出申请立项西城区平房院户厕保洁项目，区领导和区市政管委高度重视，召开了专题会议进行研究，并通过了房地中心实施此项工作的方案，经西城区政府批准由房地中心领导主任、副主任牵头，成立了西城区户厕保洁与管理工作办公室和北京市丽雅安佳保洁服务中心（2021年改制为北京德源佳德置业有限公司，以下简称“德源佳德”），积极开展各项筹备工作。</w:t>
      </w:r>
    </w:p>
    <w:p w14:paraId="69AC0DD8">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（2）目标与职责任务匹配情况</w:t>
      </w:r>
    </w:p>
    <w:p w14:paraId="447A6141">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2024年根据德源集团工作计划安排，开展户厕年度的保洁与管理工作，并进行了预算申报。2024年保洁与管理户厕数量为1900座，面积10145.30平方米，保洁管理费用2650元/年/平方米。</w:t>
      </w:r>
    </w:p>
    <w:p w14:paraId="220777AE">
      <w:pPr>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    （3）目标合理性</w:t>
      </w:r>
    </w:p>
    <w:p w14:paraId="77AE4395">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通过户厕保洁与管理工作，改善平房院居民的如厕环境、生活环境，提高居民的生活质量；对户厕设施统一管理，减少了水电的浪费，加强了对环境的保护；在保护院落旧貌的基础上，提升了街区品质，强化了城市管理。</w:t>
      </w:r>
    </w:p>
    <w:p w14:paraId="6661B496">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（二）当年预算执行情况</w:t>
      </w:r>
    </w:p>
    <w:p w14:paraId="1B146556">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2024年全年预算数2688.5045万元，其中，基本支出预算数0.00万元，项目支出预算数2688.5045万元，其他支出预算数0.00万元。资金总体支出2688.5045万元，其中，基本支出0.00万元，项目支出2688.5045万元，其他支出0.00万元。预算执行率为100%。</w:t>
      </w:r>
    </w:p>
    <w:p w14:paraId="2BE4F0CC">
      <w:pPr>
        <w:ind w:firstLine="420" w:firstLineChars="15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（三）整体绩效目标实现情况</w:t>
      </w:r>
    </w:p>
    <w:p w14:paraId="74DF3373">
      <w:pPr>
        <w:ind w:firstLine="420" w:firstLineChars="15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1、产出完成情况分析</w:t>
      </w:r>
    </w:p>
    <w:p w14:paraId="5EA8BB35">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（1）产出数量</w:t>
      </w:r>
    </w:p>
    <w:p w14:paraId="458D5F5C">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2024年全年保洁管理的户厕数量为1900座，保洁总面积10145.30平方米。   </w:t>
      </w:r>
    </w:p>
    <w:p w14:paraId="01F7FD11">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全年共完成户厕维修工作2479件，其中水类维修866件、电类维修527件、基础设施类维修856件；主体结构修缮230件；疏通1344车次，抽运20车次。</w:t>
      </w:r>
    </w:p>
    <w:p w14:paraId="68D492BC">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2024年为94座户厕铺设了自粘型防水，防水面积989.13平方米；对38处户厕进行了局部修缮；对各房屋管理公司翻建的27座户厕进行了内装修；更换了带反水弯的洁具、加装了即热型电暖器、更换了部分破损严重的下水管线，达到冬天不冷、全年无味的要求。</w:t>
      </w:r>
    </w:p>
    <w:p w14:paraId="71928ABD">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（2）产出质量</w:t>
      </w:r>
    </w:p>
    <w:p w14:paraId="6BE8CD7A">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保洁员每日两次按照“一挂九净六无”标准对户厕进行保洁；管理员按派单每日对保洁员保洁完的户厕进行巡检；维修人员24小时值班对户厕内的设备设施进行维修；委托第三方疏通公司进行管道疏通，确保户厕的下水管线随堵随通。</w:t>
      </w:r>
    </w:p>
    <w:p w14:paraId="66F3CE1A">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（3）产出进度</w:t>
      </w:r>
    </w:p>
    <w:p w14:paraId="279733F6">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保洁员每日上、下午两次保洁；管理员每30天为一个周期完成一轮巡检工作，巡检率达到100%；维修人员每日按报修情况对户厕内的设备设施进行维修，维修率100%。</w:t>
      </w:r>
    </w:p>
    <w:p w14:paraId="021CDED8">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春季4月1日至秋季10月31日每天定时喷洒灭蚊、蝇药，按季节及居民需要投放鼠药、定时喷洒除臭药剂；按需做好消杀工作。</w:t>
      </w:r>
    </w:p>
    <w:p w14:paraId="14314E1E">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（4）产出成本</w:t>
      </w:r>
    </w:p>
    <w:p w14:paraId="6CA7B5B1">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每平方米2650元。                                </w:t>
      </w:r>
    </w:p>
    <w:p w14:paraId="7F73E71D">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2、效果实现情况分析</w:t>
      </w:r>
    </w:p>
    <w:p w14:paraId="47C669C9">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（1）经济效益</w:t>
      </w:r>
    </w:p>
    <w:p w14:paraId="12786A60">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项目费用支出严格按财政预算列支，严格控制各项成本；对户厕设施统一管理，减少了水电的浪费。</w:t>
      </w:r>
    </w:p>
    <w:p w14:paraId="7B50EE54">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（2）社会效益</w:t>
      </w:r>
    </w:p>
    <w:p w14:paraId="644A5691">
      <w:pPr>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    作为政府的惠民工程，实施平房院户厕的保洁与管理，是西城区深入细化改善环境，体察民情，为民办实事，贴心为百姓服务的具体体现，进一步树立了政府的良好形象。通过户厕保洁与管理工作，改善平房院居民的如厕环境、生活环境，提高居民的生活质量。实施平房院户厕的保洁与管理，将进一步减少平房院居民间的生活矛盾，降低和减少社会不和谐的声音。</w:t>
      </w:r>
    </w:p>
    <w:p w14:paraId="5141BF31">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（3）环境效益</w:t>
      </w:r>
    </w:p>
    <w:p w14:paraId="75796697">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对户厕实施统一管理，减少了水电的浪费，统一对蚊蝇进行消杀，减少了蚊蝇对居民的侵扰，加强了对环境的保护。平房院落中有许多文保院落，对户厕进行统一的保洁与管理，在保护院落旧貌的基础上，提升街区品质，强化了城市管理。</w:t>
      </w:r>
    </w:p>
    <w:p w14:paraId="1361FF78">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（4）可持续性影响</w:t>
      </w:r>
    </w:p>
    <w:p w14:paraId="595F99BF">
      <w:pPr>
        <w:pStyle w:val="2"/>
        <w:ind w:firstLine="0" w:firstLineChars="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    为了保护古都旧貌，平房院落将长期存在，从加强环境保护，提升街区品质，提高居民群众生活质量角度，我们平房院落的户厕保洁工作也将是一个长期的、持续的需要。户厕保洁工作作为西城区政府推出的利民惠民的爱民工程，为稳定与支持西城区发展，构建和谐社会、首善之区做出了很大的贡献。家事国事天下事，让人民过上幸福生活是头等大事。户厕保洁项目是西城区委、区政府突出人民中心，牢牢站稳人民立场，自觉把群众安危冷暖放在心上的具体体现。</w:t>
      </w:r>
    </w:p>
    <w:p w14:paraId="4747D11A">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（5）服务对象满意度</w:t>
      </w:r>
    </w:p>
    <w:p w14:paraId="53F9D918">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结合热线诉求反映的问题，发挥保洁员、管理员、技术员等一线服务力量，做好保洁维修等基础服务工作，提升精细化服务水平；运用户厕投诉电话、疏通电话、值班电话等多条电话途径，拓宽居民反映诉求问题渠道。</w:t>
      </w:r>
    </w:p>
    <w:p w14:paraId="2A6CA11B">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在户厕保洁管理工作中遇到无法协调解决或需要共同解决的问题，街道只要“吹哨”，公司立刻“报到”。加强与街道社区、公房管理单位的工作联动，切实提高解决问题的实效。定期征询服务对象意见和建议，做到事事有回音，件件有落实。积极协调配合属地办事处、社区、房屋管理公司推动群众关心关注问题的解决。</w:t>
      </w:r>
    </w:p>
    <w:p w14:paraId="581AF182">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2024年德源佳德公司共接到接诉即办热线件157件，其中涉及户厕装修更新及设备设施改造相关问题件共计125件，反映的主要问题包括户厕下水管线老化造成堵塞、户厕设备设施陈旧损坏、户厕有异味、厕所改造咨询等。为了解决以上问题，2024年公司对7座户厕进行局部提升。</w:t>
      </w:r>
    </w:p>
    <w:p w14:paraId="543F0FCF">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全年走访40个社区，收到居民表扬信7封，锦旗8面。社区、居民对我们的工作给予了高度评价和充分的肯定，对我们的保洁维修服务满意度很高。</w:t>
      </w:r>
    </w:p>
    <w:p w14:paraId="0582A3A8">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（四）预算管理情况分析</w:t>
      </w:r>
    </w:p>
    <w:p w14:paraId="28CC2FE7">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1、财务管理</w:t>
      </w:r>
    </w:p>
    <w:p w14:paraId="461BA27B">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（1）财务管理制度健全性</w:t>
      </w:r>
    </w:p>
    <w:p w14:paraId="43744886">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单位依据国家、北京市和西城区发布的相关法律法规及文件精神，制定了“三重一大”、采购管理、财务管理、工程管理、绩效考评等相关制度。通过上述制度的执行加强预算支出管控，避免不必要的支出，加强预算资金管控，保障每一笔资金花在实处。同时根据制度执行过程中出现的问题，不断健全完善相关制度建设。</w:t>
      </w:r>
    </w:p>
    <w:p w14:paraId="64D4F684">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（2）资金使用合规性和安全性</w:t>
      </w:r>
    </w:p>
    <w:p w14:paraId="56858971">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单位在每年年初编制资金收入支出预算，对于本年预计发生的资金支出先进行整体把控。资金实际支出过程中，根据财务管理制度进行审核。针对预算内项目通过各级部门审批保障资金支出的合规性。针对预算外临时发生的未预测项目，通过“三重一大”制度，审核确认项目支出的必要性并确保合规性。各类支出通过对对方单位信息核实、多人复核、对公转账、发票查验等方式保障资金支出的安全性。</w:t>
      </w:r>
    </w:p>
    <w:p w14:paraId="03FFB375">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（3）会计基础信息完善性</w:t>
      </w:r>
    </w:p>
    <w:p w14:paraId="35ED9460">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本单位通过引入财务软件辅助核算功能，将各项支出细分至不同项目、不同部门、不同供应商细化核算，同时严格按照会计准则规定出具财务报表，以加强会计基础信息完善性。</w:t>
      </w:r>
    </w:p>
    <w:p w14:paraId="4AE8B742">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2、资产管理</w:t>
      </w:r>
    </w:p>
    <w:p w14:paraId="1386A902">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单位通过制定财务管理办法、固定资产管理办法、自有房产管理办法、办公用品等低值易耗品管理办法等相关制度。设置固定资产管理员、自有房产管理员、库管员等岗位。完善资产管理账簿，以定期盘点、不定期抽盘等方式，明确国有资产权属，加强对国有资产的管理。</w:t>
      </w:r>
    </w:p>
    <w:p w14:paraId="4C491E0E">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建立健全自用资产的验收、领用、保管、维护和交回等内部流程。通过盘点检查等方式，改善资产使用状况，减少非正常消耗的同时，做到节约高效、物尽其用，充分发挥国有资产使用效益以确保国有资产的保值、增值，杜绝国有资产流失。</w:t>
      </w:r>
    </w:p>
    <w:p w14:paraId="4E5D30C5">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3、绩效管理</w:t>
      </w:r>
    </w:p>
    <w:p w14:paraId="5F78800D">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单位通过制定绩效考核办法，规范负责人及员工绩效管理工作，提高工作效率，促进企业发展，加强对单位的绩效管理。通过明确考核内容、量化考核指标、公开考核结果等方式，从安全生产、工作质量、责任落实、工作创新、工作效率、团队配合等多角度多维度对员工进行绩效考评，并在考评过程中不断完善考评制度，增强考评内容针对性。</w:t>
      </w:r>
    </w:p>
    <w:p w14:paraId="23CCDBD6">
      <w:pPr>
        <w:numPr>
          <w:ilvl w:val="0"/>
          <w:numId w:val="0"/>
        </w:num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4、结转结余率</w:t>
      </w:r>
    </w:p>
    <w:p w14:paraId="280C706F">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本项目2024年度全年预算数2688.5045万元，实际支出2688.5045万元，结转结余资金0.00万元。结转结余率为0。</w:t>
      </w:r>
    </w:p>
    <w:p w14:paraId="2B1AE473">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5、部门预决算差异率</w:t>
      </w:r>
    </w:p>
    <w:p w14:paraId="2ACD468F">
      <w:pPr>
        <w:ind w:firstLine="420" w:firstLineChars="15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本项目2024年度全年预算数2688.5045万元，实际支出2688.5045万元。预决算差异率为0。</w:t>
      </w:r>
    </w:p>
    <w:p w14:paraId="05C22F17">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（五）总体评价结论</w:t>
      </w:r>
    </w:p>
    <w:p w14:paraId="78F9F562">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1、评价得分情况</w:t>
      </w:r>
    </w:p>
    <w:p w14:paraId="05283D08">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100分。</w:t>
      </w:r>
    </w:p>
    <w:p w14:paraId="553DC994">
      <w:pPr>
        <w:pStyle w:val="2"/>
        <w:ind w:left="0" w:leftChars="0"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2、存在的问题及原因分析</w:t>
      </w:r>
    </w:p>
    <w:p w14:paraId="7036E037">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区政府2007—2008年在一次性投入装修改造资金后，在十几年运行中只拨付了户厕保洁经费，未再投入专项资金对户厕进行升级改造。户厕设备设施经过十几年的运行，户厕管线塌陷渗漏造成户厕地面下沉、墙体裂缝倾斜及返潮现象较多；户厕下水管线多数为缸瓦管，管线塌陷、破损渗漏的明显增多；户厕内水压过小；户厕最初设计建设时自来水管线没有安装伴热带，运维一年后，根据使用情况，加装了伴热带（伴热带使用寿命10年，现已达上限），难以保证居民冬季如厕能正常冲水，受施工工艺及洁具设备的限制，冲水阀到出水口之间的距离无法加装伴热带。部分户厕每年冬季都会冻裂，大概需要抽调员工2600人次解冻；80%户厕使用直排洁具，异味较大，如想解决异味问题，需更换新型设备，但新型设备要求冬季最低室温达到5度以上。</w:t>
      </w:r>
    </w:p>
    <w:p w14:paraId="625F2FC3">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（2）人工、资源费用上涨幅度较大，保洁经费一直未调整。</w:t>
      </w:r>
    </w:p>
    <w:p w14:paraId="164575CD">
      <w:pPr>
        <w:pStyle w:val="2"/>
        <w:ind w:firstLine="0" w:firstLineChars="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2016年最低工资标准为1720元，2024年最低工资标准为2420元；2023年升级改造加装电暖器后，经测算平均每座每年增加电费1000元左右。</w:t>
      </w:r>
    </w:p>
    <w:p w14:paraId="391B691D">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（3）招工存在困难，保洁行业被社会存在一定误解，认为打扫厕所名声不好听。现在面临招工困难，现有保洁员年龄普遍偏大，属于社会招聘人员，素质参差不齐，用工存在一定的风险。</w:t>
      </w:r>
    </w:p>
    <w:p w14:paraId="01F40479">
      <w:pPr>
        <w:numPr>
          <w:ilvl w:val="0"/>
          <w:numId w:val="0"/>
        </w:num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（六）措施建议</w:t>
      </w:r>
    </w:p>
    <w:p w14:paraId="17C51093">
      <w:pPr>
        <w:pStyle w:val="2"/>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1、建议</w:t>
      </w:r>
    </w:p>
    <w:p w14:paraId="6AD0A999">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院厕设备设施陈旧，部分管线老化严重。2023年底整体提升400座院厕，但还有1500余座院厕设备设施陈旧，个别主体结构损坏，下水管线老化严重，长期堵塞，维修成本增加。建议利用几年的时间分区域对户厕进行升级改造。更换带水箱的洁具，解决气味大、水压小冲力不够的问题；加装即热型电暖器，解决冬季冷管道上冻的问题；修缮户厕管线，解决塌陷堵塞问题。</w:t>
      </w:r>
    </w:p>
    <w:p w14:paraId="1D9DD5B5">
      <w:pPr>
        <w:pStyle w:val="2"/>
        <w:ind w:firstLine="0" w:firstLineChars="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 xml:space="preserve">    （2）建议建立长效机制。例如在户厕保洁经费中增加一定比例的维修基金，在运维过程中发现问题第一时间处置，确保户厕运行始终处于最佳状态，让居民在户厕使用过程中具有良好的使用体验。</w:t>
      </w:r>
    </w:p>
    <w:p w14:paraId="72362712">
      <w:pPr>
        <w:pStyle w:val="2"/>
        <w:ind w:firstLine="64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（3）建议区有关部门协调和京津冀贫困县结对子，解决招工难的问题，也解决当地就业的难题。</w:t>
      </w:r>
    </w:p>
    <w:p w14:paraId="3B2E4583">
      <w:pPr>
        <w:pStyle w:val="2"/>
        <w:ind w:left="0" w:leftChars="0"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2、下一步工作举措</w:t>
      </w:r>
    </w:p>
    <w:p w14:paraId="5B92B9DD">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1）强化监督管理，规范工作流程。继续梳理完善各项制度，同时做好制度的宣贯落地工作；加强各类合同、经费使用的规范管理，严格审批手续，加强内部监督，推进用制度管人、管事、管权，为生产经营提供制度保障。</w:t>
      </w:r>
    </w:p>
    <w:p w14:paraId="6CB4FE0F">
      <w:pPr>
        <w:ind w:firstLine="560" w:firstLineChars="200"/>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（2）推行全面预算管理。对项目全年经营和相应的财务结果进行全面的预测和统筹，提高企业整体经济效益，确保企业有序经营。</w:t>
      </w:r>
    </w:p>
    <w:p w14:paraId="03AC7365">
      <w:pPr>
        <w:pStyle w:val="2"/>
        <w:ind w:firstLine="643"/>
        <w:rPr>
          <w:rFonts w:hint="eastAsia" w:ascii="仿宋_GB2312" w:hAnsi="Times New Roman" w:eastAsia="仿宋_GB2312" w:cs="宋体"/>
          <w:bCs/>
          <w:snapToGrid w:val="0"/>
          <w:kern w:val="0"/>
          <w:sz w:val="28"/>
          <w:szCs w:val="28"/>
          <w:lang w:val="en-US" w:eastAsia="zh-CN" w:bidi="ar-SA"/>
        </w:rPr>
      </w:pPr>
      <w:r>
        <w:rPr>
          <w:rFonts w:hint="eastAsia" w:ascii="仿宋_GB2312" w:hAnsi="Times New Roman" w:eastAsia="仿宋_GB2312" w:cs="宋体"/>
          <w:bCs/>
          <w:snapToGrid w:val="0"/>
          <w:kern w:val="0"/>
          <w:sz w:val="28"/>
          <w:szCs w:val="28"/>
          <w:lang w:val="en-US" w:eastAsia="zh-CN" w:bidi="ar-SA"/>
        </w:rPr>
        <w:t>（3）加强安全生产宣传和培训，梳理规范安全管理制度及应急预案，开展经常性的安全检查，提升安全防范意识和安全管理能力。</w:t>
      </w:r>
    </w:p>
    <w:p w14:paraId="69B53052">
      <w:pPr>
        <w:ind w:firstLine="560" w:firstLineChars="200"/>
      </w:pPr>
      <w:r>
        <w:rPr>
          <w:rFonts w:hint="eastAsia" w:ascii="仿宋_GB2312" w:hAnsi="Times New Roman" w:eastAsia="仿宋_GB2312" w:cs="宋体"/>
          <w:bCs/>
          <w:snapToGrid w:val="0"/>
          <w:kern w:val="0"/>
          <w:sz w:val="28"/>
          <w:szCs w:val="28"/>
          <w:lang w:val="en-US" w:eastAsia="zh-CN" w:bidi="ar-SA"/>
        </w:rPr>
        <w:t>作为管房单位，把居民的如厕环境和条件改造好和管理好是我们不可推卸的责任和义务，我们将一如既往继续做好此项工作，把百姓身边的小事解决好，让人民过上幸福生活。</w:t>
      </w:r>
    </w:p>
    <w:p w14:paraId="685A216D">
      <w:pPr>
        <w:numPr>
          <w:ilvl w:val="0"/>
          <w:numId w:val="0"/>
        </w:numPr>
        <w:ind w:firstLine="560" w:firstLineChars="200"/>
        <w:rPr>
          <w:rFonts w:ascii="黑体" w:eastAsia="黑体"/>
          <w:sz w:val="28"/>
          <w:szCs w:val="28"/>
        </w:rPr>
      </w:pPr>
      <w:r>
        <w:rPr>
          <w:rFonts w:hint="eastAsia" w:ascii="黑体" w:hAnsi="Times New Roman" w:eastAsia="黑体" w:cs="Times New Roman"/>
          <w:kern w:val="2"/>
          <w:sz w:val="28"/>
          <w:szCs w:val="28"/>
          <w:lang w:val="en-US" w:eastAsia="zh-CN" w:bidi="ar-SA"/>
        </w:rPr>
        <w:t>三、</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14:paraId="0D93D023">
      <w:pPr>
        <w:spacing w:line="480" w:lineRule="exact"/>
        <w:rPr>
          <w:rFonts w:hint="eastAsia" w:ascii="仿宋_GB2312" w:hAnsi="仿宋_GB2312" w:eastAsia="仿宋_GB2312" w:cs="仿宋_GB2312"/>
          <w:sz w:val="32"/>
          <w:szCs w:val="32"/>
        </w:rPr>
      </w:pPr>
    </w:p>
    <w:p w14:paraId="0B564EDD">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92E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01F01F4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A44B">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73B6921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EF2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4322692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94F72"/>
    <w:multiLevelType w:val="singleLevel"/>
    <w:tmpl w:val="A0294F72"/>
    <w:lvl w:ilvl="0" w:tentative="0">
      <w:start w:val="2"/>
      <w:numFmt w:val="chineseCounting"/>
      <w:suff w:val="nothing"/>
      <w:lvlText w:val="（%1）"/>
      <w:lvlJc w:val="left"/>
      <w:rPr>
        <w:rFonts w:hint="eastAsia"/>
      </w:rPr>
    </w:lvl>
  </w:abstractNum>
  <w:abstractNum w:abstractNumId="1">
    <w:nsid w:val="3BA523CA"/>
    <w:multiLevelType w:val="singleLevel"/>
    <w:tmpl w:val="3BA523C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670B0"/>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5D709B3"/>
    <w:rsid w:val="079004AC"/>
    <w:rsid w:val="07C2156E"/>
    <w:rsid w:val="0BA148CA"/>
    <w:rsid w:val="0C1165C4"/>
    <w:rsid w:val="0C3721AC"/>
    <w:rsid w:val="0D6D544B"/>
    <w:rsid w:val="0DD136FE"/>
    <w:rsid w:val="0F3E035A"/>
    <w:rsid w:val="0F8E2C57"/>
    <w:rsid w:val="0FDA5F5C"/>
    <w:rsid w:val="1059665E"/>
    <w:rsid w:val="10AC13BA"/>
    <w:rsid w:val="131C20FB"/>
    <w:rsid w:val="13CB61A0"/>
    <w:rsid w:val="13D824C6"/>
    <w:rsid w:val="145A6C1B"/>
    <w:rsid w:val="14B03976"/>
    <w:rsid w:val="14B73493"/>
    <w:rsid w:val="167A2FF9"/>
    <w:rsid w:val="18581C69"/>
    <w:rsid w:val="1AEC0734"/>
    <w:rsid w:val="1DBD3333"/>
    <w:rsid w:val="1DEF20B0"/>
    <w:rsid w:val="214243FA"/>
    <w:rsid w:val="21AD613C"/>
    <w:rsid w:val="21C448E5"/>
    <w:rsid w:val="22467189"/>
    <w:rsid w:val="23BC1067"/>
    <w:rsid w:val="257A14F5"/>
    <w:rsid w:val="27196C26"/>
    <w:rsid w:val="27D05112"/>
    <w:rsid w:val="27E674F0"/>
    <w:rsid w:val="291E49C7"/>
    <w:rsid w:val="29EF086F"/>
    <w:rsid w:val="2BB313F7"/>
    <w:rsid w:val="2D727090"/>
    <w:rsid w:val="2DA101D4"/>
    <w:rsid w:val="2E903C71"/>
    <w:rsid w:val="2EFFE297"/>
    <w:rsid w:val="2F260132"/>
    <w:rsid w:val="2FD83DF3"/>
    <w:rsid w:val="301437CA"/>
    <w:rsid w:val="30BC3F2E"/>
    <w:rsid w:val="34675474"/>
    <w:rsid w:val="349D1F0A"/>
    <w:rsid w:val="34DD0473"/>
    <w:rsid w:val="367125DA"/>
    <w:rsid w:val="36EB413B"/>
    <w:rsid w:val="37353608"/>
    <w:rsid w:val="3C0D2B5C"/>
    <w:rsid w:val="3C684897"/>
    <w:rsid w:val="40DF6392"/>
    <w:rsid w:val="42CD47A6"/>
    <w:rsid w:val="433E495C"/>
    <w:rsid w:val="45970F86"/>
    <w:rsid w:val="46C06CDB"/>
    <w:rsid w:val="46DC2BC3"/>
    <w:rsid w:val="46F73741"/>
    <w:rsid w:val="473C18EE"/>
    <w:rsid w:val="477213D6"/>
    <w:rsid w:val="489F2FD7"/>
    <w:rsid w:val="48B40F6D"/>
    <w:rsid w:val="4AC27CB3"/>
    <w:rsid w:val="4BF72BEF"/>
    <w:rsid w:val="4CF3744D"/>
    <w:rsid w:val="4E151645"/>
    <w:rsid w:val="4FA90297"/>
    <w:rsid w:val="4FC41A43"/>
    <w:rsid w:val="50024FBE"/>
    <w:rsid w:val="517C2D91"/>
    <w:rsid w:val="51DB3C59"/>
    <w:rsid w:val="541C372E"/>
    <w:rsid w:val="549E05E7"/>
    <w:rsid w:val="54F621D1"/>
    <w:rsid w:val="550C0952"/>
    <w:rsid w:val="55723844"/>
    <w:rsid w:val="55762E42"/>
    <w:rsid w:val="55DD0C9B"/>
    <w:rsid w:val="56D73E0E"/>
    <w:rsid w:val="57A7B272"/>
    <w:rsid w:val="57F51F09"/>
    <w:rsid w:val="58470068"/>
    <w:rsid w:val="58747CAC"/>
    <w:rsid w:val="59561490"/>
    <w:rsid w:val="5A1720F9"/>
    <w:rsid w:val="5B9C37C2"/>
    <w:rsid w:val="5B9E3D0C"/>
    <w:rsid w:val="5BA7C654"/>
    <w:rsid w:val="5BE14445"/>
    <w:rsid w:val="5D3C6C22"/>
    <w:rsid w:val="5E7A23D3"/>
    <w:rsid w:val="60A54109"/>
    <w:rsid w:val="61D01CDF"/>
    <w:rsid w:val="61E57F97"/>
    <w:rsid w:val="63A034E3"/>
    <w:rsid w:val="64C0607C"/>
    <w:rsid w:val="65055B18"/>
    <w:rsid w:val="65756C86"/>
    <w:rsid w:val="65F8742B"/>
    <w:rsid w:val="674D385B"/>
    <w:rsid w:val="676F09E1"/>
    <w:rsid w:val="67AE703E"/>
    <w:rsid w:val="69DF4B8A"/>
    <w:rsid w:val="6AAC30B7"/>
    <w:rsid w:val="6AE306AA"/>
    <w:rsid w:val="6CA61938"/>
    <w:rsid w:val="6E192634"/>
    <w:rsid w:val="6FE3552C"/>
    <w:rsid w:val="70D34D1C"/>
    <w:rsid w:val="714B51FB"/>
    <w:rsid w:val="7357290B"/>
    <w:rsid w:val="758B4A63"/>
    <w:rsid w:val="776C3DBF"/>
    <w:rsid w:val="77890FCB"/>
    <w:rsid w:val="78146346"/>
    <w:rsid w:val="798524E4"/>
    <w:rsid w:val="7A3642F9"/>
    <w:rsid w:val="7A7F1C49"/>
    <w:rsid w:val="7B5B7AE6"/>
    <w:rsid w:val="7B7B6628"/>
    <w:rsid w:val="7BA7071E"/>
    <w:rsid w:val="7BDF6DA8"/>
    <w:rsid w:val="7C7EDC1A"/>
    <w:rsid w:val="7CCED98D"/>
    <w:rsid w:val="7D08410F"/>
    <w:rsid w:val="7DA13610"/>
    <w:rsid w:val="7DB96DED"/>
    <w:rsid w:val="7DD3AD81"/>
    <w:rsid w:val="7F7FE70F"/>
    <w:rsid w:val="7FDF281C"/>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17441.39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4d75313-2f36-40b3-9eba-f6e046094f4f}"/>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0</c:v>
                </c:pt>
                <c:pt idx="1">
                  <c:v>17441.39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344ed1e-283a-4a77-8c61-24c0a41d2119}"/>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11698</Words>
  <Characters>12539</Characters>
  <Lines>44</Lines>
  <Paragraphs>12</Paragraphs>
  <TotalTime>5</TotalTime>
  <ScaleCrop>false</ScaleCrop>
  <LinksUpToDate>false</LinksUpToDate>
  <CharactersWithSpaces>12619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李峡</cp:lastModifiedBy>
  <cp:lastPrinted>2020-08-07T11:39:00Z</cp:lastPrinted>
  <dcterms:modified xsi:type="dcterms:W3CDTF">2025-08-27T07:08:48Z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435078ACFECC4A5A8A519EF4C3681114_13</vt:lpwstr>
  </property>
  <property fmtid="{D5CDD505-2E9C-101B-9397-08002B2CF9AE}" pid="4" name="KSOTemplateDocerSaveRecord">
    <vt:lpwstr>eyJoZGlkIjoiNjcwMjQzYWZkYWUwMzcwODA3YWJhMTFmZDhlODg5NjkiLCJ1c2VySWQiOiIxNDc3ODM0ODkwIn0=</vt:lpwstr>
  </property>
</Properties>
</file>