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76"/>
        <w:gridCol w:w="1156"/>
        <w:gridCol w:w="837"/>
        <w:gridCol w:w="277"/>
        <w:gridCol w:w="280"/>
        <w:gridCol w:w="416"/>
        <w:gridCol w:w="351"/>
        <w:gridCol w:w="48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运行管理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138.72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138.72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138.503232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138.72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138.72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138.503232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保证我局人员正常用餐，提升我局干部、职工的健康指数，保障我局房管事业的各项工作有序开展，发挥广大干部 、职工工作积极性，增强工作的效率，促进全局健康发展。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保障办公人员的正常用餐，为办公人员提供卫生、营养、健康、便捷的就餐服务。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就餐人数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餐饮合格率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支付频率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每月1次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每月1次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保障全局正常就餐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偏差原因：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就餐面积小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  <w:t>合理划分就餐位置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theme="minorBidi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就餐人员满意率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偏差原因：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就餐轮流时间长，冬季饭菜易凉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  <w:t>合理划分就餐时间，提高餐饮保温措施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theme="minorBidi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95.98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97D16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316ED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051BA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497D16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2025-08-26T02:19:00Z</dcterms:created>
  <dc:creator>刘雪瑶</dc:creator>
  <cp:lastModifiedBy>刘雪瑶</cp:lastModifiedBy>
  <dcterms:modified xsi:type="dcterms:W3CDTF">2025-08-27T08:17:21Z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