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年度北京市西城区</w:t>
      </w:r>
      <w:r>
        <w:rPr>
          <w:rFonts w:hint="eastAsia" w:ascii="黑体" w:eastAsia="黑体"/>
          <w:sz w:val="72"/>
          <w:szCs w:val="72"/>
          <w:lang w:eastAsia="zh-CN"/>
        </w:rPr>
        <w:t>信访办公室</w:t>
      </w:r>
    </w:p>
    <w:p>
      <w:pPr>
        <w:jc w:val="center"/>
        <w:rPr>
          <w:rFonts w:hint="eastAsia" w:ascii="黑体" w:eastAsia="黑体"/>
          <w:sz w:val="72"/>
          <w:szCs w:val="72"/>
        </w:rPr>
      </w:pPr>
      <w:r>
        <w:rPr>
          <w:rFonts w:hint="eastAsia" w:ascii="黑体" w:eastAsia="黑体"/>
          <w:sz w:val="72"/>
          <w:szCs w:val="72"/>
        </w:rPr>
        <w:t>部门决算</w:t>
      </w:r>
    </w:p>
    <w:p>
      <w:pPr>
        <w:jc w:val="center"/>
        <w:rPr>
          <w:rFonts w:ascii="黑体" w:eastAsia="黑体"/>
          <w:sz w:val="72"/>
          <w:szCs w:val="7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3"/>
        <w:rPr>
          <w:rFonts w:hint="eastAsia" w:eastAsia="仿宋_GB2312"/>
          <w:b w:val="0"/>
          <w:bCs w:val="0"/>
          <w:lang w:val="en-US" w:eastAsia="zh-CN"/>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r>
        <w:rPr>
          <w:rFonts w:hint="eastAsia" w:ascii="仿宋_GB2312" w:eastAsia="仿宋_GB2312"/>
          <w:b w:val="0"/>
          <w:bCs w:val="0"/>
          <w:sz w:val="28"/>
          <w:szCs w:val="28"/>
          <w:lang w:eastAsia="zh-CN"/>
        </w:rPr>
        <w:t>—</w:t>
      </w:r>
      <w:r>
        <w:rPr>
          <w:rFonts w:hint="eastAsia" w:ascii="仿宋_GB2312" w:eastAsia="仿宋_GB2312"/>
          <w:b w:val="0"/>
          <w:bCs w:val="0"/>
          <w:sz w:val="28"/>
          <w:szCs w:val="28"/>
          <w:lang w:val="en-US" w:eastAsia="zh-CN"/>
        </w:rPr>
        <w:t>2.2024年度区信访办部门决算报表</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w:t>
      </w:r>
      <w:r>
        <w:rPr>
          <w:rFonts w:hint="eastAsia" w:ascii="黑体" w:eastAsia="黑体"/>
          <w:b/>
          <w:sz w:val="28"/>
          <w:szCs w:val="28"/>
          <w:lang w:eastAsia="zh-CN"/>
        </w:rPr>
        <w:t>部门</w:t>
      </w:r>
      <w:r>
        <w:rPr>
          <w:rFonts w:hint="eastAsia" w:ascii="黑体" w:eastAsia="黑体"/>
          <w:b/>
          <w:sz w:val="28"/>
          <w:szCs w:val="28"/>
        </w:rPr>
        <w:t>基本情况</w:t>
      </w:r>
    </w:p>
    <w:p>
      <w:pPr>
        <w:snapToGrid w:val="0"/>
        <w:spacing w:line="560" w:lineRule="exact"/>
        <w:ind w:firstLine="624" w:firstLineChars="223"/>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贯彻落实国家和北京市关于信访工作的法律法规、规章和政策。</w:t>
      </w:r>
    </w:p>
    <w:p>
      <w:pPr>
        <w:snapToGrid w:val="0"/>
        <w:spacing w:line="560" w:lineRule="exact"/>
        <w:ind w:firstLine="624" w:firstLineChars="223"/>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负责处理区内外群众、境外人士、法人及其他组织通过信访渠道提出涉及本区的信访诉求，办理群众给区委、区政府及领导同志的来信来电、网上信访，接待来访。</w:t>
      </w:r>
    </w:p>
    <w:p>
      <w:pPr>
        <w:snapToGrid w:val="0"/>
        <w:spacing w:line="560" w:lineRule="exact"/>
        <w:ind w:firstLine="624" w:firstLineChars="223"/>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负责向区委、区政府反映来信来电来访、网上信访中提出的重要建议、意见和问题，综合研判信访形势，组织开展信访理论研究，提出工作建议。</w:t>
      </w:r>
    </w:p>
    <w:p>
      <w:pPr>
        <w:snapToGrid w:val="0"/>
        <w:spacing w:line="560" w:lineRule="exact"/>
        <w:ind w:firstLine="624" w:firstLineChars="223"/>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负责中央、市委、市政府及区委、区政府有关信访工作决策部署的督查督办工作，向本区各相关单位交转有关信访事项，并督促检查办理情况。</w:t>
      </w:r>
    </w:p>
    <w:p>
      <w:pPr>
        <w:snapToGrid w:val="0"/>
        <w:spacing w:line="560" w:lineRule="exact"/>
        <w:ind w:firstLine="624" w:firstLineChars="223"/>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组织协调开展人民内部矛盾纠纷排查调处工作，负责将重点矛盾纠纷的调处情况及时向区委、区政府报告。</w:t>
      </w:r>
    </w:p>
    <w:p>
      <w:pPr>
        <w:snapToGrid w:val="0"/>
        <w:spacing w:line="560" w:lineRule="exact"/>
        <w:ind w:firstLine="624" w:firstLineChars="223"/>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负责协调处理本区跨地区、跨部门、跨行业突出信访问题，督促检查各项措施的落实，参与协调处理与信访有关的突发事件。</w:t>
      </w:r>
    </w:p>
    <w:p>
      <w:pPr>
        <w:snapToGrid w:val="0"/>
        <w:spacing w:line="560" w:lineRule="exact"/>
        <w:ind w:firstLine="624" w:firstLineChars="223"/>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负责信访事项复查、复核工作。</w:t>
      </w:r>
    </w:p>
    <w:p>
      <w:pPr>
        <w:snapToGrid w:val="0"/>
        <w:spacing w:line="560" w:lineRule="exact"/>
        <w:ind w:firstLine="624" w:firstLineChars="223"/>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负责指导本区信访工作。负责对本区信访信息的汇集分析，组织指导协调、推动本区信访系统信息化建设。负责信访工作的宣传和信息发布。</w:t>
      </w:r>
    </w:p>
    <w:p>
      <w:pPr>
        <w:snapToGrid w:val="0"/>
        <w:spacing w:line="560" w:lineRule="exact"/>
        <w:ind w:firstLine="624" w:firstLineChars="223"/>
        <w:rPr>
          <w:rFonts w:hint="eastAsia"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负责征集、处理群众对本区政治、经济、文化、社会和生态文明建设等各项事业发展的重要建议。</w:t>
      </w:r>
    </w:p>
    <w:p>
      <w:pPr>
        <w:snapToGrid w:val="0"/>
        <w:spacing w:line="560" w:lineRule="exact"/>
        <w:ind w:firstLine="624" w:firstLineChars="223"/>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完成区委、区政府交办的其他任务。</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numPr>
          <w:ilvl w:val="0"/>
          <w:numId w:val="0"/>
        </w:num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财政拨款收入</w:t>
      </w:r>
      <w:r>
        <w:rPr>
          <w:rFonts w:ascii="仿宋_GB2312" w:eastAsia="仿宋_GB2312"/>
          <w:sz w:val="28"/>
          <w:szCs w:val="28"/>
        </w:rPr>
        <w:t>1</w:t>
      </w:r>
      <w:r>
        <w:rPr>
          <w:rFonts w:hint="eastAsia" w:ascii="仿宋_GB2312" w:eastAsia="仿宋_GB2312"/>
          <w:sz w:val="28"/>
          <w:szCs w:val="28"/>
          <w:lang w:eastAsia="zh-CN"/>
        </w:rPr>
        <w:t>，</w:t>
      </w:r>
      <w:r>
        <w:rPr>
          <w:rFonts w:ascii="仿宋_GB2312" w:eastAsia="仿宋_GB2312"/>
          <w:sz w:val="28"/>
          <w:szCs w:val="28"/>
        </w:rPr>
        <w:t>023.93</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w:t>
      </w:r>
      <w:r>
        <w:rPr>
          <w:rFonts w:hint="eastAsia" w:ascii="仿宋_GB2312" w:eastAsia="仿宋_GB2312"/>
          <w:sz w:val="28"/>
          <w:szCs w:val="28"/>
          <w:lang w:eastAsia="zh-CN"/>
        </w:rPr>
        <w:t>一般公共预算财政拨款收入</w:t>
      </w:r>
      <w:r>
        <w:rPr>
          <w:rFonts w:ascii="仿宋_GB2312" w:eastAsia="仿宋_GB2312"/>
          <w:sz w:val="28"/>
          <w:szCs w:val="28"/>
        </w:rPr>
        <w:t>1</w:t>
      </w:r>
      <w:r>
        <w:rPr>
          <w:rFonts w:hint="eastAsia" w:ascii="仿宋_GB2312" w:eastAsia="仿宋_GB2312"/>
          <w:sz w:val="28"/>
          <w:szCs w:val="28"/>
          <w:lang w:eastAsia="zh-CN"/>
        </w:rPr>
        <w:t>，</w:t>
      </w:r>
      <w:r>
        <w:rPr>
          <w:rFonts w:ascii="仿宋_GB2312" w:eastAsia="仿宋_GB2312"/>
          <w:sz w:val="28"/>
          <w:szCs w:val="28"/>
        </w:rPr>
        <w:t>023.93</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w:t>
      </w:r>
      <w:r>
        <w:rPr>
          <w:rFonts w:hint="eastAsia" w:ascii="仿宋_GB2312" w:eastAsia="仿宋_GB2312"/>
          <w:sz w:val="28"/>
          <w:szCs w:val="28"/>
          <w:lang w:eastAsia="zh-CN"/>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r>
        <w:rPr>
          <w:rFonts w:hint="eastAsia" w:ascii="仿宋_GB2312" w:eastAsia="仿宋_GB2312"/>
          <w:sz w:val="28"/>
          <w:szCs w:val="28"/>
          <w:lang w:eastAsia="zh-CN"/>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1</w:t>
      </w:r>
      <w:r>
        <w:rPr>
          <w:rFonts w:hint="eastAsia" w:ascii="仿宋_GB2312" w:eastAsia="仿宋_GB2312"/>
          <w:sz w:val="28"/>
          <w:szCs w:val="28"/>
          <w:lang w:eastAsia="zh-CN"/>
        </w:rPr>
        <w:t>，</w:t>
      </w:r>
      <w:r>
        <w:rPr>
          <w:rFonts w:ascii="仿宋_GB2312" w:eastAsia="仿宋_GB2312"/>
          <w:sz w:val="28"/>
          <w:szCs w:val="28"/>
        </w:rPr>
        <w:t>023.93</w:t>
      </w:r>
      <w:r>
        <w:rPr>
          <w:rFonts w:hint="eastAsia" w:ascii="仿宋_GB2312" w:eastAsia="仿宋_GB2312"/>
          <w:sz w:val="28"/>
          <w:szCs w:val="28"/>
        </w:rPr>
        <w:t>万元。其中：基本支出</w:t>
      </w:r>
      <w:r>
        <w:rPr>
          <w:rFonts w:ascii="仿宋_GB2312" w:eastAsia="仿宋_GB2312"/>
          <w:sz w:val="28"/>
          <w:szCs w:val="28"/>
        </w:rPr>
        <w:t>904.01</w:t>
      </w:r>
      <w:r>
        <w:rPr>
          <w:rFonts w:hint="eastAsia" w:ascii="仿宋_GB2312" w:eastAsia="仿宋_GB2312"/>
          <w:sz w:val="28"/>
          <w:szCs w:val="28"/>
        </w:rPr>
        <w:t>万元，占支出合计的</w:t>
      </w:r>
      <w:r>
        <w:rPr>
          <w:rFonts w:hint="eastAsia" w:ascii="仿宋_GB2312" w:eastAsia="仿宋_GB2312"/>
          <w:sz w:val="28"/>
          <w:szCs w:val="28"/>
          <w:lang w:eastAsia="zh-CN"/>
        </w:rPr>
        <w:t>88.29</w:t>
      </w:r>
      <w:r>
        <w:rPr>
          <w:rFonts w:hint="eastAsia" w:ascii="仿宋_GB2312" w:eastAsia="仿宋_GB2312"/>
          <w:sz w:val="28"/>
          <w:szCs w:val="28"/>
        </w:rPr>
        <w:t>%；项目支出</w:t>
      </w:r>
      <w:r>
        <w:rPr>
          <w:rFonts w:ascii="仿宋_GB2312" w:eastAsia="仿宋_GB2312"/>
          <w:sz w:val="28"/>
          <w:szCs w:val="28"/>
        </w:rPr>
        <w:t>119.92</w:t>
      </w:r>
      <w:r>
        <w:rPr>
          <w:rFonts w:hint="eastAsia" w:ascii="仿宋_GB2312" w:eastAsia="仿宋_GB2312"/>
          <w:sz w:val="28"/>
          <w:szCs w:val="28"/>
        </w:rPr>
        <w:t>万元，占支出合计的</w:t>
      </w:r>
      <w:r>
        <w:rPr>
          <w:rFonts w:hint="eastAsia" w:ascii="仿宋_GB2312" w:eastAsia="仿宋_GB2312"/>
          <w:sz w:val="28"/>
          <w:szCs w:val="28"/>
          <w:lang w:eastAsia="zh-CN"/>
        </w:rPr>
        <w:t>11.71</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pStyle w:val="3"/>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w:t>
      </w:r>
      <w:r>
        <w:rPr>
          <w:rFonts w:hint="eastAsia" w:ascii="仿宋_GB2312" w:eastAsia="仿宋_GB2312"/>
          <w:sz w:val="28"/>
          <w:szCs w:val="28"/>
          <w:lang w:eastAsia="zh-CN"/>
        </w:rPr>
        <w:t>，</w:t>
      </w:r>
      <w:r>
        <w:rPr>
          <w:rFonts w:ascii="仿宋_GB2312" w:eastAsia="仿宋_GB2312"/>
          <w:sz w:val="28"/>
          <w:szCs w:val="28"/>
        </w:rPr>
        <w:t>023.93</w:t>
      </w:r>
      <w:r>
        <w:rPr>
          <w:rFonts w:hint="eastAsia" w:ascii="仿宋_GB2312" w:eastAsia="仿宋_GB2312"/>
          <w:sz w:val="28"/>
          <w:szCs w:val="28"/>
        </w:rPr>
        <w:t>万元。</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1</w:t>
      </w:r>
      <w:r>
        <w:rPr>
          <w:rFonts w:hint="eastAsia" w:ascii="仿宋_GB2312" w:eastAsia="仿宋_GB2312"/>
          <w:sz w:val="28"/>
          <w:szCs w:val="28"/>
          <w:lang w:eastAsia="zh-CN"/>
        </w:rPr>
        <w:t>，</w:t>
      </w:r>
      <w:r>
        <w:rPr>
          <w:rFonts w:ascii="仿宋_GB2312" w:eastAsia="仿宋_GB2312"/>
          <w:sz w:val="28"/>
          <w:szCs w:val="28"/>
        </w:rPr>
        <w:t>023.93</w:t>
      </w:r>
      <w:r>
        <w:rPr>
          <w:rFonts w:hint="eastAsia" w:ascii="仿宋_GB2312" w:eastAsia="仿宋_GB2312"/>
          <w:sz w:val="28"/>
          <w:szCs w:val="28"/>
        </w:rPr>
        <w:t>万元，主要用于以下方面（按大类）：</w:t>
      </w:r>
      <w:r>
        <w:rPr>
          <w:rFonts w:hint="eastAsia" w:ascii="仿宋_GB2312" w:eastAsia="仿宋_GB2312"/>
          <w:color w:val="auto"/>
          <w:sz w:val="28"/>
          <w:szCs w:val="28"/>
          <w:highlight w:val="none"/>
        </w:rPr>
        <w:t>一般公共服务支出710</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4</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万元，占本年财政拨款支出</w:t>
      </w:r>
      <w:r>
        <w:rPr>
          <w:rFonts w:hint="eastAsia" w:ascii="仿宋_GB2312" w:eastAsia="仿宋_GB2312"/>
          <w:color w:val="auto"/>
          <w:sz w:val="28"/>
          <w:szCs w:val="28"/>
          <w:highlight w:val="none"/>
          <w:lang w:val="en-US" w:eastAsia="zh-CN"/>
        </w:rPr>
        <w:t>69.39</w:t>
      </w:r>
      <w:r>
        <w:rPr>
          <w:rFonts w:hint="eastAsia" w:ascii="仿宋_GB2312" w:eastAsia="仿宋_GB2312"/>
          <w:color w:val="auto"/>
          <w:sz w:val="28"/>
          <w:szCs w:val="28"/>
          <w:highlight w:val="none"/>
        </w:rPr>
        <w:t>%；社会保障和就业支出131</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74万元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占本年财政拨款支出</w:t>
      </w:r>
      <w:r>
        <w:rPr>
          <w:rFonts w:hint="eastAsia" w:ascii="仿宋_GB2312" w:eastAsia="仿宋_GB2312"/>
          <w:color w:val="auto"/>
          <w:sz w:val="28"/>
          <w:szCs w:val="28"/>
          <w:highlight w:val="none"/>
          <w:lang w:val="en-US" w:eastAsia="zh-CN"/>
        </w:rPr>
        <w:t>12.87</w:t>
      </w:r>
      <w:r>
        <w:rPr>
          <w:rFonts w:hint="eastAsia" w:ascii="仿宋_GB2312" w:eastAsia="仿宋_GB2312"/>
          <w:color w:val="auto"/>
          <w:sz w:val="28"/>
          <w:szCs w:val="28"/>
          <w:highlight w:val="none"/>
        </w:rPr>
        <w:t>%；卫生健康支出</w:t>
      </w:r>
      <w:r>
        <w:rPr>
          <w:rFonts w:hint="eastAsia" w:ascii="仿宋_GB2312" w:eastAsia="仿宋_GB2312"/>
          <w:color w:val="auto"/>
          <w:sz w:val="28"/>
          <w:szCs w:val="28"/>
          <w:highlight w:val="none"/>
          <w:lang w:val="en-US" w:eastAsia="zh-CN"/>
        </w:rPr>
        <w:t>63.55</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占本年财政拨款支出</w:t>
      </w:r>
      <w:r>
        <w:rPr>
          <w:rFonts w:hint="eastAsia" w:ascii="仿宋_GB2312" w:eastAsia="仿宋_GB2312"/>
          <w:color w:val="auto"/>
          <w:sz w:val="28"/>
          <w:szCs w:val="28"/>
          <w:highlight w:val="none"/>
          <w:lang w:val="en-US" w:eastAsia="zh-CN"/>
        </w:rPr>
        <w:t>6.20%；住房保障支出118.14</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占本年财政拨款支出</w:t>
      </w:r>
      <w:r>
        <w:rPr>
          <w:rFonts w:hint="eastAsia" w:ascii="仿宋_GB2312" w:eastAsia="仿宋_GB2312"/>
          <w:color w:val="auto"/>
          <w:sz w:val="28"/>
          <w:szCs w:val="28"/>
          <w:highlight w:val="none"/>
          <w:lang w:val="en-US" w:eastAsia="zh-CN"/>
        </w:rPr>
        <w:t>11.54</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w:t>
      </w:r>
    </w:p>
    <w:p>
      <w:pPr>
        <w:autoSpaceDE w:val="0"/>
        <w:autoSpaceDN w:val="0"/>
        <w:adjustRightInd w:val="0"/>
        <w:spacing w:line="58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年度年初预算783.35万元，202</w:t>
      </w:r>
      <w:r>
        <w:rPr>
          <w:rFonts w:hint="eastAsia" w:ascii="仿宋_GB2312" w:eastAsia="仿宋_GB2312"/>
          <w:sz w:val="28"/>
          <w:szCs w:val="28"/>
          <w:lang w:val="en-US" w:eastAsia="zh-CN"/>
        </w:rPr>
        <w:t>4</w:t>
      </w:r>
      <w:r>
        <w:rPr>
          <w:rFonts w:hint="eastAsia" w:ascii="仿宋_GB2312" w:eastAsia="仿宋_GB2312"/>
          <w:sz w:val="28"/>
          <w:szCs w:val="28"/>
        </w:rPr>
        <w:t>年度决算710</w:t>
      </w:r>
      <w:r>
        <w:rPr>
          <w:rFonts w:hint="eastAsia" w:ascii="仿宋_GB2312" w:eastAsia="仿宋_GB2312"/>
          <w:sz w:val="28"/>
          <w:szCs w:val="28"/>
          <w:lang w:val="en-US" w:eastAsia="zh-CN"/>
        </w:rPr>
        <w:t>.</w:t>
      </w:r>
      <w:r>
        <w:rPr>
          <w:rFonts w:hint="eastAsia" w:ascii="仿宋_GB2312" w:eastAsia="仿宋_GB2312"/>
          <w:sz w:val="28"/>
          <w:szCs w:val="28"/>
        </w:rPr>
        <w:t>49万元，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90.70</w:t>
      </w:r>
      <w:r>
        <w:rPr>
          <w:rFonts w:hint="eastAsia" w:ascii="仿宋_GB2312" w:eastAsia="仿宋_GB2312"/>
          <w:sz w:val="28"/>
          <w:szCs w:val="28"/>
        </w:rPr>
        <w:t>%。</w:t>
      </w:r>
    </w:p>
    <w:p>
      <w:pPr>
        <w:autoSpaceDE w:val="0"/>
        <w:autoSpaceDN w:val="0"/>
        <w:adjustRightInd w:val="0"/>
        <w:spacing w:line="580" w:lineRule="exact"/>
        <w:jc w:val="left"/>
        <w:rPr>
          <w:rFonts w:hint="eastAsia" w:ascii="仿宋_GB2312" w:eastAsia="仿宋_GB2312"/>
          <w:sz w:val="28"/>
          <w:szCs w:val="28"/>
        </w:rPr>
      </w:pPr>
      <w:r>
        <w:rPr>
          <w:rFonts w:hint="eastAsia" w:ascii="仿宋_GB2312" w:eastAsia="仿宋_GB2312"/>
          <w:sz w:val="28"/>
          <w:szCs w:val="28"/>
        </w:rPr>
        <w:t>其中：</w:t>
      </w:r>
    </w:p>
    <w:p>
      <w:pPr>
        <w:spacing w:line="580" w:lineRule="exact"/>
        <w:ind w:firstLine="560" w:firstLineChars="200"/>
        <w:outlineLvl w:val="1"/>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政府办公厅（室）及相关机构事务（款）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年度年初预算729</w:t>
      </w:r>
      <w:r>
        <w:rPr>
          <w:rFonts w:hint="eastAsia" w:ascii="仿宋_GB2312" w:eastAsia="仿宋_GB2312"/>
          <w:sz w:val="28"/>
          <w:szCs w:val="28"/>
          <w:lang w:val="en-US" w:eastAsia="zh-CN"/>
        </w:rPr>
        <w:t>.</w:t>
      </w:r>
      <w:r>
        <w:rPr>
          <w:rFonts w:hint="eastAsia" w:ascii="仿宋_GB2312" w:eastAsia="仿宋_GB2312"/>
          <w:sz w:val="28"/>
          <w:szCs w:val="28"/>
        </w:rPr>
        <w:t>85万元，202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color w:val="auto"/>
          <w:sz w:val="28"/>
          <w:szCs w:val="28"/>
          <w:highlight w:val="none"/>
        </w:rPr>
        <w:t>659</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42万元</w:t>
      </w:r>
      <w:r>
        <w:rPr>
          <w:rFonts w:hint="eastAsia" w:ascii="仿宋_GB2312" w:eastAsia="仿宋_GB2312"/>
          <w:sz w:val="28"/>
          <w:szCs w:val="28"/>
        </w:rPr>
        <w:t>，</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90.35</w:t>
      </w:r>
      <w:r>
        <w:rPr>
          <w:rFonts w:hint="eastAsia" w:ascii="仿宋_GB2312" w:eastAsia="仿宋_GB2312"/>
          <w:sz w:val="28"/>
          <w:szCs w:val="28"/>
        </w:rPr>
        <w:t>%。主要原因：</w:t>
      </w:r>
      <w:r>
        <w:rPr>
          <w:rFonts w:hint="eastAsia" w:ascii="仿宋_GB2312" w:eastAsia="仿宋_GB2312"/>
          <w:color w:val="auto"/>
          <w:sz w:val="28"/>
          <w:szCs w:val="28"/>
          <w:highlight w:val="none"/>
        </w:rPr>
        <w:t>厉行节约。</w:t>
      </w:r>
    </w:p>
    <w:p>
      <w:pPr>
        <w:spacing w:line="580" w:lineRule="exact"/>
        <w:ind w:firstLine="560" w:firstLineChars="200"/>
        <w:outlineLvl w:val="1"/>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信访事务（款）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53.5</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color w:val="auto"/>
          <w:sz w:val="28"/>
          <w:szCs w:val="28"/>
          <w:highlight w:val="none"/>
          <w:lang w:val="en-US" w:eastAsia="zh-CN"/>
        </w:rPr>
        <w:t>51.07</w:t>
      </w:r>
      <w:r>
        <w:rPr>
          <w:rFonts w:hint="eastAsia" w:ascii="仿宋_GB2312" w:eastAsia="仿宋_GB2312"/>
          <w:color w:val="auto"/>
          <w:sz w:val="28"/>
          <w:szCs w:val="28"/>
          <w:highlight w:val="none"/>
        </w:rPr>
        <w:t>万元</w:t>
      </w:r>
      <w:r>
        <w:rPr>
          <w:rFonts w:hint="eastAsia" w:ascii="仿宋_GB2312" w:eastAsia="仿宋_GB2312"/>
          <w:sz w:val="28"/>
          <w:szCs w:val="28"/>
        </w:rPr>
        <w:t>，</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95.46</w:t>
      </w:r>
      <w:r>
        <w:rPr>
          <w:rFonts w:hint="eastAsia" w:ascii="仿宋_GB2312" w:eastAsia="仿宋_GB2312"/>
          <w:sz w:val="28"/>
          <w:szCs w:val="28"/>
        </w:rPr>
        <w:t>%。主要原因：</w:t>
      </w:r>
      <w:r>
        <w:rPr>
          <w:rFonts w:hint="eastAsia" w:ascii="仿宋_GB2312" w:eastAsia="仿宋_GB2312"/>
          <w:color w:val="auto"/>
          <w:sz w:val="28"/>
          <w:szCs w:val="28"/>
          <w:highlight w:val="none"/>
        </w:rPr>
        <w:t>厉行节约</w:t>
      </w:r>
      <w:r>
        <w:rPr>
          <w:rFonts w:hint="eastAsia" w:ascii="仿宋_GB2312" w:eastAsia="仿宋_GB2312"/>
          <w:color w:val="auto"/>
          <w:sz w:val="28"/>
          <w:szCs w:val="28"/>
          <w:highlight w:val="none"/>
          <w:lang w:eastAsia="zh-CN"/>
        </w:rPr>
        <w:t>。</w:t>
      </w:r>
    </w:p>
    <w:p>
      <w:pPr>
        <w:autoSpaceDE w:val="0"/>
        <w:autoSpaceDN w:val="0"/>
        <w:adjustRightInd w:val="0"/>
        <w:spacing w:line="580" w:lineRule="exact"/>
        <w:ind w:firstLine="560" w:firstLineChars="200"/>
        <w:jc w:val="left"/>
        <w:rPr>
          <w:rFonts w:hint="eastAsia" w:ascii="仿宋_GB2312" w:eastAsia="仿宋_GB2312"/>
          <w:sz w:val="28"/>
          <w:szCs w:val="28"/>
        </w:rPr>
      </w:pPr>
      <w:bookmarkStart w:id="0" w:name="OLE_LINK1"/>
      <w:r>
        <w:rPr>
          <w:rFonts w:hint="eastAsia" w:ascii="仿宋_GB2312" w:eastAsia="仿宋_GB2312"/>
          <w:sz w:val="28"/>
          <w:szCs w:val="28"/>
          <w:lang w:val="en-US" w:eastAsia="zh-CN"/>
        </w:rPr>
        <w:t>2</w:t>
      </w:r>
      <w:r>
        <w:rPr>
          <w:rFonts w:hint="eastAsia" w:ascii="仿宋_GB2312" w:eastAsia="仿宋_GB2312"/>
          <w:sz w:val="28"/>
          <w:szCs w:val="28"/>
        </w:rPr>
        <w:t>、“社会保障和就业支出”（类）202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年度年初预算120</w:t>
      </w:r>
      <w:r>
        <w:rPr>
          <w:rFonts w:hint="eastAsia" w:ascii="仿宋_GB2312" w:eastAsia="仿宋_GB2312"/>
          <w:sz w:val="28"/>
          <w:szCs w:val="28"/>
          <w:lang w:val="en-US" w:eastAsia="zh-CN"/>
        </w:rPr>
        <w:t>.</w:t>
      </w:r>
      <w:r>
        <w:rPr>
          <w:rFonts w:hint="eastAsia" w:ascii="仿宋_GB2312" w:eastAsia="仿宋_GB2312"/>
          <w:sz w:val="28"/>
          <w:szCs w:val="28"/>
        </w:rPr>
        <w:t>91万元，202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131.74</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108.96</w:t>
      </w:r>
      <w:r>
        <w:rPr>
          <w:rFonts w:hint="eastAsia" w:ascii="仿宋_GB2312" w:eastAsia="仿宋_GB2312"/>
          <w:sz w:val="28"/>
          <w:szCs w:val="28"/>
        </w:rPr>
        <w:t>%。</w:t>
      </w:r>
    </w:p>
    <w:p>
      <w:pPr>
        <w:autoSpaceDE w:val="0"/>
        <w:autoSpaceDN w:val="0"/>
        <w:adjustRightInd w:val="0"/>
        <w:spacing w:line="580" w:lineRule="exact"/>
        <w:jc w:val="left"/>
        <w:rPr>
          <w:rFonts w:hint="eastAsia" w:ascii="仿宋_GB2312" w:eastAsia="仿宋_GB2312"/>
          <w:color w:val="auto"/>
          <w:sz w:val="28"/>
          <w:szCs w:val="28"/>
          <w:highlight w:val="none"/>
        </w:rPr>
      </w:pPr>
      <w:r>
        <w:rPr>
          <w:rFonts w:hint="eastAsia" w:ascii="仿宋_GB2312" w:eastAsia="仿宋_GB2312"/>
          <w:sz w:val="28"/>
          <w:szCs w:val="28"/>
        </w:rPr>
        <w:t>其中：</w:t>
      </w:r>
    </w:p>
    <w:bookmarkEnd w:id="0"/>
    <w:p>
      <w:pPr>
        <w:spacing w:line="580" w:lineRule="exact"/>
        <w:ind w:firstLine="560" w:firstLineChars="200"/>
        <w:outlineLvl w:val="1"/>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行政事业单位养老支出（款）</w:t>
      </w:r>
      <w:r>
        <w:rPr>
          <w:rFonts w:hint="eastAsia" w:ascii="仿宋_GB2312" w:eastAsia="仿宋_GB2312"/>
          <w:color w:val="auto"/>
          <w:sz w:val="28"/>
          <w:szCs w:val="28"/>
          <w:highlight w:val="none"/>
          <w:lang w:eastAsia="zh-CN"/>
        </w:rPr>
        <w:t>2024年</w:t>
      </w:r>
      <w:r>
        <w:rPr>
          <w:rFonts w:hint="eastAsia" w:ascii="仿宋_GB2312" w:eastAsia="仿宋_GB2312"/>
          <w:color w:val="auto"/>
          <w:sz w:val="28"/>
          <w:szCs w:val="28"/>
          <w:highlight w:val="none"/>
        </w:rPr>
        <w:t>度</w:t>
      </w:r>
      <w:r>
        <w:rPr>
          <w:rFonts w:hint="eastAsia" w:ascii="仿宋_GB2312" w:eastAsia="仿宋_GB2312"/>
          <w:sz w:val="28"/>
          <w:szCs w:val="28"/>
        </w:rPr>
        <w:t>年初预算120</w:t>
      </w:r>
      <w:r>
        <w:rPr>
          <w:rFonts w:hint="eastAsia" w:ascii="仿宋_GB2312" w:eastAsia="仿宋_GB2312"/>
          <w:sz w:val="28"/>
          <w:szCs w:val="28"/>
          <w:lang w:val="en-US" w:eastAsia="zh-CN"/>
        </w:rPr>
        <w:t>.</w:t>
      </w:r>
      <w:r>
        <w:rPr>
          <w:rFonts w:hint="eastAsia" w:ascii="仿宋_GB2312" w:eastAsia="仿宋_GB2312"/>
          <w:sz w:val="28"/>
          <w:szCs w:val="28"/>
        </w:rPr>
        <w:t>91万元，202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color w:val="auto"/>
          <w:sz w:val="28"/>
          <w:szCs w:val="28"/>
          <w:highlight w:val="none"/>
          <w:lang w:val="en-US" w:eastAsia="zh-CN"/>
        </w:rPr>
        <w:t>131.74</w:t>
      </w:r>
      <w:r>
        <w:rPr>
          <w:rFonts w:hint="eastAsia" w:ascii="仿宋_GB2312" w:eastAsia="仿宋_GB2312"/>
          <w:color w:val="auto"/>
          <w:sz w:val="28"/>
          <w:szCs w:val="28"/>
          <w:highlight w:val="none"/>
        </w:rPr>
        <w:t>万元</w:t>
      </w:r>
      <w:r>
        <w:rPr>
          <w:rFonts w:hint="eastAsia" w:ascii="仿宋_GB2312" w:eastAsia="仿宋_GB2312"/>
          <w:sz w:val="28"/>
          <w:szCs w:val="28"/>
        </w:rPr>
        <w:t>，</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108.96</w:t>
      </w:r>
      <w:r>
        <w:rPr>
          <w:rFonts w:hint="eastAsia" w:ascii="仿宋_GB2312" w:eastAsia="仿宋_GB2312"/>
          <w:sz w:val="28"/>
          <w:szCs w:val="28"/>
        </w:rPr>
        <w:t>%。</w:t>
      </w:r>
      <w:r>
        <w:rPr>
          <w:rFonts w:hint="eastAsia" w:ascii="仿宋_GB2312" w:eastAsia="仿宋_GB2312"/>
          <w:color w:val="auto"/>
          <w:sz w:val="28"/>
          <w:szCs w:val="28"/>
          <w:highlight w:val="none"/>
        </w:rPr>
        <w:t>主要原因</w:t>
      </w:r>
      <w:r>
        <w:rPr>
          <w:rFonts w:hint="eastAsia" w:ascii="仿宋_GB2312" w:eastAsia="仿宋_GB2312"/>
          <w:color w:val="auto"/>
          <w:sz w:val="28"/>
          <w:szCs w:val="28"/>
          <w:highlight w:val="none"/>
          <w:lang w:eastAsia="zh-CN"/>
        </w:rPr>
        <w:t>：由于退休人员增多导致</w:t>
      </w:r>
      <w:r>
        <w:rPr>
          <w:rFonts w:hint="eastAsia" w:ascii="仿宋_GB2312" w:eastAsia="仿宋_GB2312"/>
          <w:color w:val="auto"/>
          <w:sz w:val="28"/>
          <w:szCs w:val="28"/>
          <w:highlight w:val="none"/>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、“卫生健康支出”（类）202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年度年初预算63</w:t>
      </w:r>
      <w:r>
        <w:rPr>
          <w:rFonts w:hint="eastAsia" w:ascii="仿宋_GB2312" w:eastAsia="仿宋_GB2312"/>
          <w:sz w:val="28"/>
          <w:szCs w:val="28"/>
          <w:lang w:val="en-US" w:eastAsia="zh-CN"/>
        </w:rPr>
        <w:t>.</w:t>
      </w:r>
      <w:r>
        <w:rPr>
          <w:rFonts w:hint="eastAsia" w:ascii="仿宋_GB2312" w:eastAsia="仿宋_GB2312"/>
          <w:sz w:val="28"/>
          <w:szCs w:val="28"/>
        </w:rPr>
        <w:t>55万元，202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63.55</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100</w:t>
      </w:r>
      <w:r>
        <w:rPr>
          <w:rFonts w:hint="eastAsia" w:ascii="仿宋_GB2312" w:eastAsia="仿宋_GB2312"/>
          <w:sz w:val="28"/>
          <w:szCs w:val="28"/>
        </w:rPr>
        <w:t>%。</w:t>
      </w:r>
    </w:p>
    <w:p>
      <w:pPr>
        <w:autoSpaceDE w:val="0"/>
        <w:autoSpaceDN w:val="0"/>
        <w:adjustRightInd w:val="0"/>
        <w:spacing w:line="580" w:lineRule="exact"/>
        <w:jc w:val="left"/>
        <w:rPr>
          <w:rFonts w:hint="eastAsia" w:ascii="仿宋_GB2312" w:eastAsia="仿宋_GB2312"/>
          <w:color w:val="auto"/>
          <w:sz w:val="28"/>
          <w:szCs w:val="28"/>
          <w:highlight w:val="none"/>
        </w:rPr>
      </w:pPr>
      <w:r>
        <w:rPr>
          <w:rFonts w:hint="eastAsia" w:ascii="仿宋_GB2312" w:eastAsia="仿宋_GB2312"/>
          <w:sz w:val="28"/>
          <w:szCs w:val="28"/>
        </w:rPr>
        <w:t>其中：</w:t>
      </w:r>
    </w:p>
    <w:p>
      <w:pPr>
        <w:spacing w:line="580" w:lineRule="exact"/>
        <w:ind w:firstLine="560" w:firstLineChars="200"/>
        <w:outlineLvl w:val="1"/>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行政事业单位医疗（款</w:t>
      </w:r>
      <w:r>
        <w:rPr>
          <w:rFonts w:hint="eastAsia" w:ascii="仿宋_GB2312" w:eastAsia="仿宋_GB2312"/>
          <w:color w:val="auto"/>
          <w:sz w:val="28"/>
          <w:szCs w:val="28"/>
          <w:highlight w:val="none"/>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年度年初预算63</w:t>
      </w:r>
      <w:r>
        <w:rPr>
          <w:rFonts w:hint="eastAsia" w:ascii="仿宋_GB2312" w:eastAsia="仿宋_GB2312"/>
          <w:sz w:val="28"/>
          <w:szCs w:val="28"/>
          <w:lang w:val="en-US" w:eastAsia="zh-CN"/>
        </w:rPr>
        <w:t>.</w:t>
      </w:r>
      <w:r>
        <w:rPr>
          <w:rFonts w:hint="eastAsia" w:ascii="仿宋_GB2312" w:eastAsia="仿宋_GB2312"/>
          <w:sz w:val="28"/>
          <w:szCs w:val="28"/>
        </w:rPr>
        <w:t>55万元，202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63.55</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100</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color w:val="auto"/>
          <w:sz w:val="28"/>
          <w:szCs w:val="28"/>
          <w:highlight w:val="none"/>
        </w:rPr>
        <w:t>住房保障支出</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年度年初预算121</w:t>
      </w:r>
      <w:r>
        <w:rPr>
          <w:rFonts w:hint="eastAsia" w:ascii="仿宋_GB2312" w:eastAsia="仿宋_GB2312"/>
          <w:sz w:val="28"/>
          <w:szCs w:val="28"/>
          <w:lang w:val="en-US" w:eastAsia="zh-CN"/>
        </w:rPr>
        <w:t>.</w:t>
      </w:r>
      <w:r>
        <w:rPr>
          <w:rFonts w:hint="eastAsia" w:ascii="仿宋_GB2312" w:eastAsia="仿宋_GB2312"/>
          <w:sz w:val="28"/>
          <w:szCs w:val="28"/>
        </w:rPr>
        <w:t>9</w:t>
      </w:r>
      <w:r>
        <w:rPr>
          <w:rFonts w:hint="eastAsia" w:ascii="仿宋_GB2312" w:eastAsia="仿宋_GB2312"/>
          <w:sz w:val="28"/>
          <w:szCs w:val="28"/>
          <w:lang w:val="en-US" w:eastAsia="zh-CN"/>
        </w:rPr>
        <w:t>6</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color w:val="auto"/>
          <w:sz w:val="28"/>
          <w:szCs w:val="28"/>
          <w:highlight w:val="none"/>
          <w:lang w:val="en-US" w:eastAsia="zh-CN"/>
        </w:rPr>
        <w:t>118.14</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96.88</w:t>
      </w:r>
      <w:r>
        <w:rPr>
          <w:rFonts w:hint="eastAsia" w:ascii="仿宋_GB2312" w:eastAsia="仿宋_GB2312"/>
          <w:sz w:val="28"/>
          <w:szCs w:val="28"/>
        </w:rPr>
        <w:t>%。</w:t>
      </w:r>
    </w:p>
    <w:p>
      <w:pPr>
        <w:autoSpaceDE w:val="0"/>
        <w:autoSpaceDN w:val="0"/>
        <w:adjustRightInd w:val="0"/>
        <w:spacing w:line="580" w:lineRule="exact"/>
        <w:jc w:val="left"/>
        <w:rPr>
          <w:rFonts w:hint="eastAsia" w:ascii="仿宋_GB2312" w:eastAsia="仿宋_GB2312"/>
          <w:color w:val="auto"/>
          <w:sz w:val="28"/>
          <w:szCs w:val="28"/>
          <w:highlight w:val="none"/>
        </w:rPr>
      </w:pPr>
      <w:r>
        <w:rPr>
          <w:rFonts w:hint="eastAsia" w:ascii="仿宋_GB2312" w:eastAsia="仿宋_GB2312"/>
          <w:sz w:val="28"/>
          <w:szCs w:val="28"/>
        </w:rPr>
        <w:t>其中：</w:t>
      </w:r>
    </w:p>
    <w:p>
      <w:pPr>
        <w:spacing w:line="580" w:lineRule="exact"/>
        <w:ind w:firstLine="560" w:firstLineChars="200"/>
        <w:outlineLvl w:val="1"/>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住房改革支出（款）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年度年初预算121</w:t>
      </w:r>
      <w:r>
        <w:rPr>
          <w:rFonts w:hint="eastAsia" w:ascii="仿宋_GB2312" w:eastAsia="仿宋_GB2312"/>
          <w:sz w:val="28"/>
          <w:szCs w:val="28"/>
          <w:lang w:val="en-US" w:eastAsia="zh-CN"/>
        </w:rPr>
        <w:t>.</w:t>
      </w:r>
      <w:r>
        <w:rPr>
          <w:rFonts w:hint="eastAsia" w:ascii="仿宋_GB2312" w:eastAsia="仿宋_GB2312"/>
          <w:sz w:val="28"/>
          <w:szCs w:val="28"/>
        </w:rPr>
        <w:t>9</w:t>
      </w:r>
      <w:r>
        <w:rPr>
          <w:rFonts w:hint="eastAsia" w:ascii="仿宋_GB2312" w:eastAsia="仿宋_GB2312"/>
          <w:sz w:val="28"/>
          <w:szCs w:val="28"/>
          <w:lang w:val="en-US" w:eastAsia="zh-CN"/>
        </w:rPr>
        <w:t>6</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color w:val="auto"/>
          <w:sz w:val="28"/>
          <w:szCs w:val="28"/>
          <w:highlight w:val="none"/>
          <w:lang w:val="en-US" w:eastAsia="zh-CN"/>
        </w:rPr>
        <w:t>118.14</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96.87</w:t>
      </w:r>
      <w:r>
        <w:rPr>
          <w:rFonts w:hint="eastAsia" w:ascii="仿宋_GB2312" w:eastAsia="仿宋_GB2312"/>
          <w:sz w:val="28"/>
          <w:szCs w:val="28"/>
        </w:rPr>
        <w:t>%。主要原因：</w:t>
      </w:r>
      <w:r>
        <w:rPr>
          <w:rFonts w:hint="eastAsia" w:ascii="仿宋_GB2312" w:eastAsia="仿宋_GB2312"/>
          <w:color w:val="auto"/>
          <w:sz w:val="28"/>
          <w:szCs w:val="28"/>
          <w:highlight w:val="none"/>
        </w:rPr>
        <w:t>住房公积金基数调整</w:t>
      </w:r>
      <w:r>
        <w:rPr>
          <w:rFonts w:hint="eastAsia" w:ascii="仿宋_GB2312" w:eastAsia="仿宋_GB2312"/>
          <w:color w:val="auto"/>
          <w:sz w:val="28"/>
          <w:szCs w:val="28"/>
          <w:highlight w:val="none"/>
          <w:lang w:eastAsia="zh-CN"/>
        </w:rPr>
        <w:t>。</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pStyle w:val="4"/>
        <w:ind w:firstLine="560"/>
      </w:pPr>
      <w:r>
        <w:rPr>
          <w:rFonts w:hint="eastAsia" w:ascii="仿宋_GB2312" w:eastAsia="仿宋_GB2312"/>
          <w:sz w:val="28"/>
          <w:szCs w:val="28"/>
        </w:rPr>
        <w:t>本年度未安排政府性基金预算财政拨款收支。</w:t>
      </w:r>
    </w:p>
    <w:p>
      <w:pPr>
        <w:spacing w:line="580" w:lineRule="exact"/>
        <w:ind w:firstLine="560" w:firstLineChars="200"/>
        <w:rPr>
          <w:rFonts w:hint="eastAsia"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spacing w:line="580" w:lineRule="exact"/>
        <w:ind w:firstLine="560" w:firstLineChars="200"/>
      </w:pPr>
      <w:r>
        <w:rPr>
          <w:rFonts w:hint="eastAsia" w:ascii="仿宋_GB2312" w:hAnsi="仿宋" w:eastAsia="仿宋_GB2312" w:cs="仿宋"/>
          <w:color w:val="000000"/>
          <w:sz w:val="28"/>
          <w:szCs w:val="28"/>
        </w:rPr>
        <w:t>本年度未安排国有资本经营预算财政拨款收支。</w:t>
      </w:r>
    </w:p>
    <w:p>
      <w:pPr>
        <w:spacing w:line="580" w:lineRule="exact"/>
        <w:ind w:firstLine="548" w:firstLineChars="196"/>
        <w:rPr>
          <w:rFonts w:hint="eastAsia"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年度使用一般公共预算财政拨款安排基本支出</w:t>
      </w:r>
      <w:r>
        <w:rPr>
          <w:rFonts w:ascii="仿宋_GB2312" w:eastAsia="仿宋_GB2312"/>
          <w:sz w:val="28"/>
          <w:szCs w:val="28"/>
        </w:rPr>
        <w:t>904.01</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both"/>
        <w:rPr>
          <w:rFonts w:ascii="仿宋_GB2312" w:eastAsia="仿宋_GB2312"/>
          <w:b/>
          <w:sz w:val="32"/>
          <w:szCs w:val="32"/>
        </w:rPr>
      </w:pPr>
      <w:r>
        <w:rPr>
          <w:rFonts w:ascii="仿宋_GB2312" w:eastAsia="仿宋_GB2312"/>
          <w:b/>
          <w:sz w:val="32"/>
          <w:szCs w:val="32"/>
        </w:rPr>
        <w:tab/>
      </w:r>
    </w:p>
    <w:p>
      <w:pPr>
        <w:pStyle w:val="2"/>
        <w:rPr>
          <w:rFonts w:hint="eastAsia"/>
        </w:rPr>
      </w:pP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0</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0.31</w:t>
      </w:r>
      <w:r>
        <w:rPr>
          <w:rFonts w:hint="eastAsia" w:ascii="仿宋_GB2312" w:eastAsia="仿宋_GB2312"/>
          <w:sz w:val="28"/>
          <w:szCs w:val="28"/>
        </w:rPr>
        <w:t>万元减少</w:t>
      </w:r>
      <w:r>
        <w:rPr>
          <w:rFonts w:ascii="仿宋_GB2312" w:eastAsia="仿宋_GB2312"/>
          <w:sz w:val="28"/>
          <w:szCs w:val="28"/>
        </w:rPr>
        <w:t>0.31</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无变化</w:t>
      </w:r>
      <w:r>
        <w:rPr>
          <w:rFonts w:hint="eastAsia" w:ascii="仿宋_GB2312" w:eastAsia="仿宋_GB2312"/>
          <w:sz w:val="28"/>
          <w:szCs w:val="28"/>
        </w:rPr>
        <w:t>。</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0.31</w:t>
      </w:r>
      <w:r>
        <w:rPr>
          <w:rFonts w:hint="eastAsia" w:ascii="仿宋_GB2312" w:eastAsia="仿宋_GB2312"/>
          <w:sz w:val="28"/>
          <w:szCs w:val="28"/>
        </w:rPr>
        <w:t>万元减少</w:t>
      </w:r>
      <w:r>
        <w:rPr>
          <w:rFonts w:ascii="仿宋_GB2312" w:eastAsia="仿宋_GB2312"/>
          <w:sz w:val="28"/>
          <w:szCs w:val="28"/>
        </w:rPr>
        <w:t>0.31</w:t>
      </w:r>
      <w:r>
        <w:rPr>
          <w:rFonts w:hint="eastAsia" w:ascii="仿宋_GB2312" w:eastAsia="仿宋_GB2312"/>
          <w:sz w:val="28"/>
          <w:szCs w:val="28"/>
        </w:rPr>
        <w:t>万元。主要原因：</w:t>
      </w:r>
      <w:r>
        <w:rPr>
          <w:rFonts w:hint="eastAsia" w:ascii="仿宋_GB2312" w:eastAsia="仿宋_GB2312"/>
          <w:sz w:val="28"/>
          <w:szCs w:val="28"/>
          <w:lang w:eastAsia="zh-CN"/>
        </w:rPr>
        <w:t>厉行节约。</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无变化</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0</w:t>
      </w:r>
      <w:r>
        <w:rPr>
          <w:rFonts w:hint="eastAsia" w:ascii="仿宋_GB2312" w:eastAsia="仿宋_GB2312"/>
          <w:sz w:val="28"/>
          <w:szCs w:val="28"/>
        </w:rPr>
        <w:t>辆。</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hint="eastAsia" w:ascii="仿宋_GB2312" w:eastAsia="仿宋_GB2312"/>
          <w:sz w:val="28"/>
          <w:szCs w:val="28"/>
          <w:lang w:eastAsia="zh-CN"/>
        </w:rPr>
        <w:t>机关运行经费</w:t>
      </w:r>
      <w:r>
        <w:rPr>
          <w:rFonts w:hint="eastAsia" w:ascii="仿宋_GB2312" w:eastAsia="仿宋_GB2312"/>
          <w:sz w:val="28"/>
          <w:szCs w:val="28"/>
        </w:rPr>
        <w:t>支出合计</w:t>
      </w:r>
      <w:r>
        <w:rPr>
          <w:rFonts w:hint="eastAsia" w:ascii="仿宋_GB2312" w:eastAsia="仿宋_GB2312"/>
          <w:sz w:val="28"/>
          <w:szCs w:val="28"/>
          <w:lang w:val="en-US" w:eastAsia="zh-CN"/>
        </w:rPr>
        <w:t>56.58</w:t>
      </w:r>
      <w:r>
        <w:rPr>
          <w:rFonts w:hint="eastAsia" w:ascii="仿宋_GB2312" w:eastAsia="仿宋_GB2312"/>
          <w:sz w:val="28"/>
          <w:szCs w:val="28"/>
        </w:rPr>
        <w:t>万元。</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27.51</w:t>
      </w:r>
      <w:r>
        <w:rPr>
          <w:rFonts w:hint="eastAsia" w:ascii="仿宋_GB2312" w:eastAsia="仿宋_GB2312"/>
          <w:sz w:val="28"/>
          <w:szCs w:val="28"/>
        </w:rPr>
        <w:t>万元，其中：政府采购货物支出</w:t>
      </w:r>
      <w:r>
        <w:rPr>
          <w:rFonts w:ascii="仿宋_GB2312" w:eastAsia="仿宋_GB2312"/>
          <w:sz w:val="28"/>
          <w:szCs w:val="28"/>
        </w:rPr>
        <w:t>5.76</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21.75</w:t>
      </w:r>
      <w:r>
        <w:rPr>
          <w:rFonts w:hint="eastAsia" w:ascii="仿宋_GB2312" w:eastAsia="仿宋_GB2312"/>
          <w:sz w:val="28"/>
          <w:szCs w:val="28"/>
        </w:rPr>
        <w:t>万元。授予中小企业合同金额</w:t>
      </w:r>
      <w:r>
        <w:rPr>
          <w:rFonts w:ascii="仿宋_GB2312" w:eastAsia="仿宋_GB2312"/>
          <w:sz w:val="28"/>
          <w:szCs w:val="28"/>
        </w:rPr>
        <w:t>27.51</w:t>
      </w:r>
      <w:r>
        <w:rPr>
          <w:rFonts w:hint="eastAsia" w:ascii="仿宋_GB2312" w:eastAsia="仿宋_GB2312"/>
          <w:sz w:val="28"/>
          <w:szCs w:val="28"/>
        </w:rPr>
        <w:t>万元，占政府采购支出总额的</w:t>
      </w:r>
      <w:r>
        <w:rPr>
          <w:rFonts w:hint="eastAsia" w:ascii="仿宋_GB2312" w:eastAsia="仿宋_GB2312"/>
          <w:sz w:val="28"/>
          <w:szCs w:val="28"/>
          <w:lang w:eastAsia="zh-CN"/>
        </w:rPr>
        <w:t>100</w:t>
      </w:r>
      <w:r>
        <w:rPr>
          <w:rFonts w:hint="eastAsia" w:ascii="仿宋_GB2312" w:eastAsia="仿宋_GB2312"/>
          <w:sz w:val="28"/>
          <w:szCs w:val="28"/>
        </w:rPr>
        <w:t>%，其中：授予小微企业合同金额</w:t>
      </w:r>
      <w:r>
        <w:rPr>
          <w:rFonts w:ascii="仿宋_GB2312" w:eastAsia="仿宋_GB2312"/>
          <w:sz w:val="28"/>
          <w:szCs w:val="28"/>
        </w:rPr>
        <w:t>27.51</w:t>
      </w:r>
      <w:r>
        <w:rPr>
          <w:rFonts w:hint="eastAsia" w:ascii="仿宋_GB2312" w:eastAsia="仿宋_GB2312"/>
          <w:sz w:val="28"/>
          <w:szCs w:val="28"/>
        </w:rPr>
        <w:t>万元，占政府采购支出总额的</w:t>
      </w:r>
      <w:r>
        <w:rPr>
          <w:rFonts w:ascii="仿宋_GB2312" w:eastAsia="仿宋_GB2312"/>
          <w:sz w:val="28"/>
          <w:szCs w:val="28"/>
        </w:rPr>
        <w:t>100</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12月31日，北京市西城区信访办公室（本级）</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0</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政府购买服务决算6.3</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1.财政拨款收入：指单位从同级财政部门取得的财政预算资金。</w:t>
      </w:r>
    </w:p>
    <w:p>
      <w:pPr>
        <w:ind w:firstLine="560" w:firstLineChars="200"/>
        <w:rPr>
          <w:rFonts w:hint="eastAsia" w:ascii="仿宋_GB2312" w:eastAsia="仿宋_GB2312"/>
          <w:sz w:val="28"/>
          <w:szCs w:val="28"/>
        </w:rPr>
      </w:pPr>
      <w:r>
        <w:rPr>
          <w:rFonts w:hint="eastAsia" w:ascii="仿宋_GB2312" w:eastAsia="仿宋_GB2312"/>
          <w:sz w:val="28"/>
          <w:szCs w:val="28"/>
        </w:rPr>
        <w:t>2.事业收入：指事业单位开展专业业务活动及辅助活动取得的收入。</w:t>
      </w:r>
    </w:p>
    <w:p>
      <w:pPr>
        <w:ind w:firstLine="560" w:firstLineChars="200"/>
        <w:rPr>
          <w:rFonts w:hint="eastAsia" w:ascii="仿宋_GB2312" w:eastAsia="仿宋_GB2312"/>
          <w:sz w:val="28"/>
          <w:szCs w:val="28"/>
        </w:rPr>
      </w:pPr>
      <w:r>
        <w:rPr>
          <w:rFonts w:hint="eastAsia" w:ascii="仿宋_GB2312" w:eastAsia="仿宋_GB2312"/>
          <w:sz w:val="28"/>
          <w:szCs w:val="28"/>
        </w:rPr>
        <w:t>3.经营收入：指事业单位在专业业务活动及其辅助活动之外开展非独立核算经营活动取得的收入。</w:t>
      </w:r>
    </w:p>
    <w:p>
      <w:pPr>
        <w:ind w:firstLine="560" w:firstLineChars="200"/>
        <w:rPr>
          <w:rFonts w:hint="eastAsia" w:ascii="仿宋_GB2312" w:eastAsia="仿宋_GB2312"/>
          <w:sz w:val="28"/>
          <w:szCs w:val="28"/>
        </w:rPr>
      </w:pPr>
      <w:r>
        <w:rPr>
          <w:rFonts w:hint="eastAsia" w:ascii="仿宋_GB2312" w:eastAsia="仿宋_GB2312"/>
          <w:sz w:val="28"/>
          <w:szCs w:val="28"/>
        </w:rPr>
        <w:t>4.其他收入：指单位取得的除上述收入以外的各项收入。主要是按规定动用的售房收入、存款利息收入等。</w:t>
      </w:r>
    </w:p>
    <w:p>
      <w:pPr>
        <w:ind w:firstLine="560" w:firstLineChars="200"/>
        <w:rPr>
          <w:rFonts w:hint="eastAsia" w:ascii="仿宋_GB2312" w:eastAsia="仿宋_GB2312"/>
          <w:sz w:val="28"/>
          <w:szCs w:val="28"/>
        </w:rPr>
      </w:pPr>
      <w:r>
        <w:rPr>
          <w:rFonts w:hint="eastAsia" w:ascii="仿宋_GB2312" w:eastAsia="仿宋_GB2312"/>
          <w:sz w:val="28"/>
          <w:szCs w:val="28"/>
        </w:rPr>
        <w:t>5.年初结转和结余：指单位以前年度尚未完成、结转到本年按有关规定继续使用的资金。</w:t>
      </w:r>
    </w:p>
    <w:p>
      <w:pPr>
        <w:ind w:firstLine="560" w:firstLineChars="200"/>
        <w:rPr>
          <w:rFonts w:hint="eastAsia" w:ascii="仿宋_GB2312" w:eastAsia="仿宋_GB2312"/>
          <w:sz w:val="28"/>
          <w:szCs w:val="28"/>
        </w:rPr>
      </w:pPr>
      <w:r>
        <w:rPr>
          <w:rFonts w:hint="eastAsia" w:ascii="仿宋_GB2312" w:eastAsia="仿宋_GB2312"/>
          <w:sz w:val="28"/>
          <w:szCs w:val="28"/>
        </w:rPr>
        <w:t>6.基本支出：指为保障机构正常运转、完成日常工作任务而发生的人员支出和公用支出。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7.项目支出：指在基本支出之外为完成特定行政任务或事业发展目标所发生的支出。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8.“三公”经费：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9</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hint="eastAsia" w:ascii="仿宋_GB2312" w:eastAsia="仿宋_GB2312"/>
          <w:sz w:val="28"/>
          <w:szCs w:val="28"/>
        </w:rPr>
      </w:pPr>
      <w:r>
        <w:rPr>
          <w:rFonts w:hint="eastAsia" w:ascii="仿宋_GB2312" w:eastAsia="仿宋_GB2312"/>
          <w:sz w:val="28"/>
          <w:szCs w:val="28"/>
        </w:rPr>
        <w:t>10</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560" w:firstLineChars="200"/>
        <w:rPr>
          <w:rFonts w:hint="eastAsia" w:ascii="仿宋_GB2312" w:eastAsia="仿宋_GB2312"/>
          <w:sz w:val="28"/>
          <w:szCs w:val="28"/>
        </w:rPr>
      </w:pPr>
      <w:r>
        <w:rPr>
          <w:rFonts w:hint="eastAsia" w:ascii="仿宋_GB2312" w:eastAsia="仿宋_GB2312"/>
          <w:sz w:val="28"/>
          <w:szCs w:val="28"/>
        </w:rPr>
        <w:t>11</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jc w:val="both"/>
        <w:rPr>
          <w:rFonts w:hint="eastAsia" w:ascii="黑体" w:eastAsia="黑体"/>
          <w:sz w:val="32"/>
          <w:szCs w:val="32"/>
        </w:rPr>
      </w:pPr>
    </w:p>
    <w:p>
      <w:pPr>
        <w:pStyle w:val="2"/>
        <w:rPr>
          <w:rFonts w:hint="eastAsia" w:ascii="黑体" w:eastAsia="黑体"/>
          <w:sz w:val="32"/>
          <w:szCs w:val="32"/>
        </w:rPr>
      </w:pPr>
    </w:p>
    <w:p>
      <w:pPr>
        <w:ind w:firstLine="640" w:firstLineChars="200"/>
        <w:jc w:val="center"/>
        <w:rPr>
          <w:rFonts w:hint="eastAsia" w:ascii="黑体" w:eastAsia="黑体"/>
          <w:sz w:val="32"/>
          <w:szCs w:val="32"/>
        </w:rPr>
      </w:pPr>
    </w:p>
    <w:p>
      <w:pPr>
        <w:pStyle w:val="2"/>
        <w:rPr>
          <w:rFonts w:hint="eastAsia" w:ascii="黑体" w:eastAsia="黑体"/>
          <w:sz w:val="32"/>
          <w:szCs w:val="32"/>
        </w:rPr>
      </w:pPr>
    </w:p>
    <w:p>
      <w:pPr>
        <w:rPr>
          <w:rFonts w:hint="eastAsia" w:ascii="黑体" w:eastAsia="黑体"/>
          <w:sz w:val="32"/>
          <w:szCs w:val="32"/>
        </w:rPr>
      </w:pPr>
    </w:p>
    <w:p>
      <w:pPr>
        <w:pStyle w:val="2"/>
        <w:rPr>
          <w:rFonts w:hint="eastAsia" w:ascii="黑体" w:eastAsia="黑体"/>
          <w:sz w:val="32"/>
          <w:szCs w:val="32"/>
        </w:rPr>
      </w:pPr>
    </w:p>
    <w:p>
      <w:pPr>
        <w:rPr>
          <w:rFonts w:hint="eastAsia" w:ascii="黑体" w:eastAsia="黑体"/>
          <w:sz w:val="32"/>
          <w:szCs w:val="32"/>
        </w:rPr>
      </w:pPr>
    </w:p>
    <w:p>
      <w:pPr>
        <w:pStyle w:val="2"/>
        <w:rPr>
          <w:rFonts w:hint="eastAsia" w:ascii="黑体" w:eastAsia="黑体"/>
          <w:sz w:val="32"/>
          <w:szCs w:val="32"/>
        </w:rPr>
      </w:pPr>
    </w:p>
    <w:p>
      <w:pPr>
        <w:rPr>
          <w:rFonts w:hint="eastAsia" w:ascii="黑体" w:eastAsia="黑体"/>
          <w:sz w:val="32"/>
          <w:szCs w:val="32"/>
        </w:rPr>
      </w:pPr>
    </w:p>
    <w:p>
      <w:pPr>
        <w:pStyle w:val="2"/>
        <w:rPr>
          <w:rFonts w:hint="eastAsia"/>
        </w:rPr>
      </w:pPr>
    </w:p>
    <w:p>
      <w:pPr>
        <w:ind w:firstLine="640" w:firstLineChars="200"/>
        <w:jc w:val="center"/>
        <w:rPr>
          <w:rFonts w:hint="eastAsia" w:ascii="黑体" w:eastAsia="黑体"/>
          <w:sz w:val="32"/>
          <w:szCs w:val="32"/>
        </w:rPr>
      </w:pPr>
      <w:r>
        <w:rPr>
          <w:rFonts w:hint="eastAsia" w:ascii="黑体" w:eastAsia="黑体"/>
          <w:sz w:val="32"/>
          <w:szCs w:val="32"/>
        </w:rPr>
        <w:t>第四部分  202</w:t>
      </w:r>
      <w:r>
        <w:rPr>
          <w:rFonts w:hint="eastAsia" w:ascii="黑体" w:eastAsia="黑体"/>
          <w:sz w:val="32"/>
          <w:szCs w:val="32"/>
          <w:lang w:val="en-US" w:eastAsia="zh-CN"/>
        </w:rPr>
        <w:t>4</w:t>
      </w:r>
      <w:r>
        <w:rPr>
          <w:rFonts w:hint="eastAsia" w:ascii="黑体" w:eastAsia="黑体"/>
          <w:sz w:val="32"/>
          <w:szCs w:val="32"/>
        </w:rPr>
        <w:t>年度部门绩效评价情况</w:t>
      </w:r>
    </w:p>
    <w:p>
      <w:pPr>
        <w:ind w:firstLine="560" w:firstLineChars="200"/>
        <w:rPr>
          <w:rFonts w:hint="eastAsia" w:ascii="黑体" w:eastAsia="黑体"/>
          <w:sz w:val="28"/>
          <w:szCs w:val="28"/>
          <w:highlight w:val="yellow"/>
        </w:rPr>
      </w:pPr>
    </w:p>
    <w:p>
      <w:pPr>
        <w:numPr>
          <w:ilvl w:val="0"/>
          <w:numId w:val="1"/>
        </w:numPr>
        <w:ind w:firstLine="560" w:firstLineChars="200"/>
        <w:rPr>
          <w:rFonts w:hint="eastAsia" w:ascii="黑体" w:eastAsia="黑体"/>
          <w:sz w:val="28"/>
          <w:szCs w:val="28"/>
          <w:lang w:eastAsia="zh-CN"/>
        </w:rPr>
      </w:pPr>
      <w:r>
        <w:rPr>
          <w:rFonts w:hint="eastAsia" w:ascii="黑体" w:eastAsia="黑体"/>
          <w:sz w:val="28"/>
          <w:szCs w:val="28"/>
          <w:highlight w:val="none"/>
        </w:rPr>
        <w:t>部门整体绩效评价报告</w:t>
      </w:r>
      <w:r>
        <w:rPr>
          <w:rFonts w:hint="eastAsia" w:ascii="黑体" w:eastAsia="黑体"/>
          <w:sz w:val="28"/>
          <w:szCs w:val="28"/>
          <w:lang w:eastAsia="zh-CN"/>
        </w:rPr>
        <w:t>（详见附件）</w:t>
      </w:r>
    </w:p>
    <w:p>
      <w:pPr>
        <w:numPr>
          <w:ilvl w:val="0"/>
          <w:numId w:val="1"/>
        </w:numPr>
        <w:ind w:firstLine="560" w:firstLineChars="200"/>
        <w:rPr>
          <w:rFonts w:hint="eastAsia" w:ascii="黑体" w:eastAsia="黑体"/>
          <w:sz w:val="28"/>
          <w:szCs w:val="28"/>
          <w:lang w:eastAsia="zh-CN"/>
        </w:rPr>
      </w:pPr>
      <w:r>
        <w:rPr>
          <w:rFonts w:hint="eastAsia" w:ascii="黑体" w:eastAsia="黑体"/>
          <w:sz w:val="28"/>
          <w:szCs w:val="28"/>
        </w:rPr>
        <w:t>项目支出绩效评价报告</w:t>
      </w:r>
      <w:r>
        <w:rPr>
          <w:rFonts w:hint="eastAsia" w:ascii="黑体" w:eastAsia="黑体"/>
          <w:sz w:val="28"/>
          <w:szCs w:val="28"/>
          <w:lang w:eastAsia="zh-CN"/>
        </w:rPr>
        <w:t>（详见附件）</w:t>
      </w:r>
    </w:p>
    <w:p>
      <w:pPr>
        <w:numPr>
          <w:ilvl w:val="0"/>
          <w:numId w:val="1"/>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（附件）</w:t>
      </w:r>
    </w:p>
    <w:p>
      <w:pPr>
        <w:spacing w:line="480" w:lineRule="exact"/>
        <w:rPr>
          <w:rFonts w:hint="eastAsia" w:ascii="仿宋_GB2312" w:hAnsi="仿宋_GB2312" w:eastAsia="仿宋_GB2312" w:cs="仿宋_GB2312"/>
          <w:sz w:val="32"/>
          <w:szCs w:val="32"/>
        </w:rPr>
      </w:pPr>
    </w:p>
    <w:p>
      <w:pPr>
        <w:spacing w:line="480" w:lineRule="exact"/>
      </w:pPr>
      <w:bookmarkStart w:id="1" w:name="_GoBack"/>
      <w:bookmarkEnd w:id="1"/>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E84BE"/>
    <w:multiLevelType w:val="singleLevel"/>
    <w:tmpl w:val="8D7E84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32B5196"/>
    <w:rsid w:val="04C3537C"/>
    <w:rsid w:val="079004AC"/>
    <w:rsid w:val="0BA148CA"/>
    <w:rsid w:val="0C1165C4"/>
    <w:rsid w:val="0D6D544B"/>
    <w:rsid w:val="0DD136FE"/>
    <w:rsid w:val="0F8E2C57"/>
    <w:rsid w:val="1059665E"/>
    <w:rsid w:val="10AC13BA"/>
    <w:rsid w:val="12923B4E"/>
    <w:rsid w:val="145A6C1B"/>
    <w:rsid w:val="14B73493"/>
    <w:rsid w:val="167A2FF9"/>
    <w:rsid w:val="18581C69"/>
    <w:rsid w:val="1AEC0734"/>
    <w:rsid w:val="1DEF20B0"/>
    <w:rsid w:val="214243FA"/>
    <w:rsid w:val="21AD613C"/>
    <w:rsid w:val="22467189"/>
    <w:rsid w:val="257A14F5"/>
    <w:rsid w:val="27196C26"/>
    <w:rsid w:val="277A67D6"/>
    <w:rsid w:val="29EF086F"/>
    <w:rsid w:val="2A615FD6"/>
    <w:rsid w:val="2EFFE297"/>
    <w:rsid w:val="301437CA"/>
    <w:rsid w:val="349D1F0A"/>
    <w:rsid w:val="34DD0473"/>
    <w:rsid w:val="370970A5"/>
    <w:rsid w:val="38AA450D"/>
    <w:rsid w:val="3C684897"/>
    <w:rsid w:val="433E495C"/>
    <w:rsid w:val="471A5036"/>
    <w:rsid w:val="489F2FD7"/>
    <w:rsid w:val="4ABB3919"/>
    <w:rsid w:val="4AC27CB3"/>
    <w:rsid w:val="4BF72BEF"/>
    <w:rsid w:val="4FA90297"/>
    <w:rsid w:val="4FC41A43"/>
    <w:rsid w:val="51DB3C59"/>
    <w:rsid w:val="543D0F51"/>
    <w:rsid w:val="550C0952"/>
    <w:rsid w:val="55762E42"/>
    <w:rsid w:val="57A7B272"/>
    <w:rsid w:val="58470068"/>
    <w:rsid w:val="58747CAC"/>
    <w:rsid w:val="5A1720F9"/>
    <w:rsid w:val="5B9C37C2"/>
    <w:rsid w:val="5BA7C654"/>
    <w:rsid w:val="60A54109"/>
    <w:rsid w:val="61D01CDF"/>
    <w:rsid w:val="64C0607C"/>
    <w:rsid w:val="65756C86"/>
    <w:rsid w:val="674D385B"/>
    <w:rsid w:val="676F09E1"/>
    <w:rsid w:val="71793A80"/>
    <w:rsid w:val="7357290B"/>
    <w:rsid w:val="77DC155A"/>
    <w:rsid w:val="798524E4"/>
    <w:rsid w:val="7A7F1C49"/>
    <w:rsid w:val="7B5B7AE6"/>
    <w:rsid w:val="7B7B6628"/>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ind w:firstLine="883"/>
      <w:jc w:val="both"/>
      <w:outlineLvl w:val="0"/>
    </w:pPr>
    <w:rPr>
      <w:rFonts w:ascii="Cambria" w:hAnsi="Cambria"/>
      <w:b/>
      <w:bCs/>
      <w:szCs w:val="32"/>
    </w:rPr>
  </w:style>
  <w:style w:type="paragraph" w:styleId="4">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Sheet0!$A$2:$A$3</c:f>
              <c:strCache>
                <c:ptCount val="2"/>
                <c:pt idx="0">
                  <c:v>基本支出</c:v>
                </c:pt>
                <c:pt idx="1">
                  <c:v>项目支出</c:v>
                </c:pt>
              </c:strCache>
            </c:strRef>
          </c:cat>
          <c:val>
            <c:numRef>
              <c:f>Sheet0!$B$2:$B$3</c:f>
              <c:numCache>
                <c:formatCode>General</c:formatCode>
                <c:ptCount val="2"/>
                <c:pt idx="0">
                  <c:v>904.01</c:v>
                </c:pt>
                <c:pt idx="1">
                  <c:v>119.92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3432</Words>
  <Characters>5781</Characters>
  <Lines>44</Lines>
  <Paragraphs>12</Paragraphs>
  <TotalTime>97</TotalTime>
  <ScaleCrop>false</ScaleCrop>
  <LinksUpToDate>false</LinksUpToDate>
  <CharactersWithSpaces>5802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Administrator</cp:lastModifiedBy>
  <cp:lastPrinted>2025-08-27T06:23:00Z</cp:lastPrinted>
  <dcterms:modified xsi:type="dcterms:W3CDTF">2025-08-27T09:31:04Z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435078ACFECC4A5A8A519EF4C3681114_13</vt:lpwstr>
  </property>
  <property fmtid="{D5CDD505-2E9C-101B-9397-08002B2CF9AE}" pid="4" name="KSOTemplateDocerSaveRecord">
    <vt:lpwstr>eyJoZGlkIjoiMzFhMDlmODM4NDM3ZTUzZTJhOWRjZWIxNmVkMjQxNTMiLCJ1c2VySWQiOiIxMTQwMjc4MDE0In0=</vt:lpwstr>
  </property>
</Properties>
</file>