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Arial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Arial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Arial"/>
          <w:sz w:val="44"/>
          <w:szCs w:val="44"/>
          <w:lang w:eastAsia="zh-CN"/>
        </w:rPr>
        <w:t>北京市西城区信访办公室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Arial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Arial"/>
          <w:sz w:val="44"/>
          <w:szCs w:val="44"/>
          <w:lang w:eastAsia="zh-CN"/>
        </w:rPr>
        <w:t>2024年部门整体绩效报告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</w:rPr>
        <w:t>为进一步加强预算绩效管理，强化支出责任，提高财政资金使用效益，考核财政支出效率和综合效果，根据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《中共北京市委 北京市人民政府关于全面实施预算绩效管理的实施意见》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（京发〔2019〕12号）、《北京市项目支出绩效评价管理办法》（京财绩效〔2020〕2146号），结合《北京市西城区财政局关于开展2025年财政支出绩效评价工作的通知》的工作安排，北京市</w:t>
      </w:r>
      <w:r>
        <w:rPr>
          <w:rFonts w:hint="eastAsia" w:ascii="仿宋_GB2312" w:hAnsi="楷体" w:eastAsia="仿宋_GB2312"/>
          <w:bCs/>
          <w:kern w:val="0"/>
          <w:sz w:val="32"/>
          <w:szCs w:val="32"/>
          <w:lang w:eastAsia="zh-CN"/>
        </w:rPr>
        <w:t>西城区信访办公室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（以下简称“</w:t>
      </w:r>
      <w:r>
        <w:rPr>
          <w:rFonts w:hint="eastAsia" w:ascii="仿宋_GB2312" w:hAnsi="楷体" w:eastAsia="仿宋_GB2312"/>
          <w:bCs/>
          <w:kern w:val="0"/>
          <w:sz w:val="32"/>
          <w:szCs w:val="32"/>
          <w:lang w:eastAsia="zh-CN"/>
        </w:rPr>
        <w:t>区信访办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”）组织实施202</w:t>
      </w: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年度部门整体绩效评价工作，形成本绩效评价报告。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eastAsia="zh-CN"/>
        </w:rPr>
        <w:t>主要职能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贯彻落实国家和北京市关于信访工作的法律法规、规章和政策。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负责处理区内外群众、境外人士、法人及其他组织通过信访渠道提出涉及本区的信访诉求，办理群众给区委、区政府及领导同志的来信来电、网上信访，接待来访。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负责向区委、区政府反映来信来电来访、网上信访中提出的重要建议、意见和问题，综合研判信访形势，组织开展信访理论研究，提出工作建议。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负责中央、市委、市政府及区委、区政府有关信访工作决策部署的督查督办工作，向本区各相关单位交转有关信访事项，并督促检查办理情况。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组织协调开展人民内部矛盾纠纷排查调处工作，负责将重点矛盾纠纷的调处情况及时向区委、区政府报告。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负责协调处理本区跨地区、跨部门、跨行业突出信访问题，督促检查各项措施的落实，参与协调处理与信访有关的突发事件。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负责信访事项复查、复核工作。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负责指导本区信访工作。负责对本区信访信息的汇集分析，组织指导协调、推动本区信访系统信息化建设。负责信访工作的宣传和信息发布。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负责征集、处理群众对本区政治、经济、文化、社会和生态文明建设等各项事业发展的重要建议。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楷体" w:eastAsia="仿宋_GB2312"/>
          <w:bCs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楷体" w:eastAsia="仿宋_GB2312"/>
          <w:bCs/>
          <w:kern w:val="0"/>
          <w:sz w:val="32"/>
          <w:szCs w:val="32"/>
        </w:rPr>
        <w:t>完成区委、区政府交办的其他任务。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部门整体绩效目标设立情况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深入贯彻习近平总书记关于信访工作重要指示批示精神，认真落实中央、市委市政府和区委区政府的决策部署，统筹协调、推动解决群众合理合法诉求、化解突出信访问题为重点，着力畅通和规范群众诉求表达渠道，创新体制机制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更好地维护群众合法权益，有效促进了区域社会和谐稳定。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auto"/>
          <w:kern w:val="0"/>
          <w:sz w:val="32"/>
          <w:szCs w:val="32"/>
        </w:rPr>
        <w:t>预算执行情况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2024年区财政批复部门预算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897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750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元，其中，基本支出预算数9，579，750.85元，项目支出预算数1，318，000元。资金总体支出10，239，284.89元，其中，基本支出9，040，089.74元，项目支出1，199，195.15元。预算执行率为93.96%。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整体绩效目标实现情况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2024年，西城区信访工作在北京市信访办、西城区委区政府的坚强领导下，坚持以习近平新时代中国特色社会主义思想为指导，牢记为民解难、为党分忧的政治责任，围绕“一条主线、开展四项活动、抓好六项重点工作”总体思路，统一思想，坚定信心，明确任务，认真开展“红墙先锋”和“双提升”工程，为营造安全稳定的社会环境发挥积极作用。西城区连续两年被评为全国信访工作示范区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eastAsia="楷体_GB2312"/>
          <w:color w:val="000000"/>
          <w:sz w:val="32"/>
          <w:szCs w:val="32"/>
          <w:highlight w:val="none"/>
        </w:rPr>
        <w:t>（一）产出完成情况分析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（1）进一步深化落实信访工作责任制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（2）切实化解信访突出矛盾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（3）深入推进信访法治化建设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（4）着力开展矛盾纠纷预防化解工作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（5）加大依法维护信访秩序的工作力度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（6）全面加强干部队伍建设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2.产出进度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区信访办工作贯穿全年，按照年初预算批复及年中预算调整情况，2024年完成了各项工作任务。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产出成本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eastAsia="zh-CN"/>
        </w:rPr>
        <w:t>区信访办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202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val="en-US" w:eastAsia="zh-CN"/>
        </w:rPr>
        <w:t>4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年全年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总体支出10，239，284.89元，其中，基本支出9，040，089.74元，项目支出1，199，195.15元。预算执行率为93.96%。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</w:rPr>
        <w:t>部门整体支出控制在预算批复范围内。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（二）效果</w:t>
      </w:r>
      <w:r>
        <w:rPr>
          <w:rFonts w:ascii="楷体_GB2312" w:eastAsia="楷体_GB2312"/>
          <w:color w:val="000000"/>
          <w:sz w:val="32"/>
          <w:szCs w:val="32"/>
        </w:rPr>
        <w:t>实现情况分析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.社会效益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楷体" w:eastAsia="仿宋_GB2312" w:cs="Times New Roman"/>
          <w:bCs/>
          <w:color w:val="auto"/>
          <w:kern w:val="0"/>
          <w:sz w:val="32"/>
          <w:szCs w:val="28"/>
          <w:lang w:val="zh-CN" w:eastAsia="zh-CN"/>
        </w:rPr>
      </w:pPr>
      <w:r>
        <w:rPr>
          <w:rFonts w:hint="eastAsia" w:ascii="仿宋_GB2312" w:hAnsi="楷体" w:eastAsia="仿宋_GB2312" w:cs="Times New Roman"/>
          <w:bCs/>
          <w:color w:val="auto"/>
          <w:kern w:val="0"/>
          <w:sz w:val="32"/>
          <w:szCs w:val="28"/>
          <w:lang w:val="zh-CN" w:eastAsia="zh-CN"/>
        </w:rPr>
        <w:t>积极配合区维稳、综合治理、应急等方面工作，全力确保重点时期社会和谐稳定。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.可持续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性影响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信访问题处理能力不断提升，统筹协调推动解决信访人合理合法诉求。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（1）及时高效化解初信初访问题；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（2）不断提高复查工作质量；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（3）注重人民建议的规范化办理，努力实现成果转化。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（一）财务管理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区信访办制定了《北京市西城区信访办公室内部控制管理制度汇编》，已建立《西城区信访办“三重一大”制度》《西城区信访办党组工作规则》《西城区信访办支出管理制度》《西城区信访办合同管理制度》等相关管理制度，对预算业务、收支业务、政府采购业务、固定资产管理业务、合同业务管理等均进行了规定，部门财务管理制度较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楷体" w:eastAsia="仿宋_GB2312"/>
          <w:bCs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202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  <w:lang w:val="en-US" w:eastAsia="zh-CN"/>
        </w:rPr>
        <w:t>4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年，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严格执行政府会计准则制度及市级财政政策和部门预算管理相关规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定与工作要求，建立健全部门管理制度，强化部门财务管理，严格预算执行。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color w:val="000000"/>
        </w:rPr>
      </w:pP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各项支出严格按照北京市财政局预算批复的支出范围、开支标准以及《西城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支出管理制度》执行。各项资金支出按照“逐级申报、逐级审批、合理授权”的方式，严格执行内部控制规范和支出审批程序。实行大额资金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支出集体决策制度，保证资金支出的合规性、安全性。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color w:val="000000"/>
          <w:sz w:val="32"/>
          <w:szCs w:val="32"/>
        </w:rPr>
        <w:t>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color w:val="000000"/>
        </w:rPr>
      </w:pP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在资产管理制度建立方面，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制定《西城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固定资产管理办法》，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val="en-US" w:eastAsia="zh-CN"/>
        </w:rPr>
        <w:t>设置归口部门，明确岗位职责，确定资产管理责任分工，细化资产管理工作程序，明确固定资产的标准，建立了固定资产配置、验收、登记、日常管理、盘点、处置、清查、信息管理等的全过程监管机制，规范和加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lang w:val="en-US" w:eastAsia="zh-CN"/>
        </w:rPr>
        <w:t>强固定资产管理，合理配置和使用单位固定资产，提高了资产使用效益。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绩效</w:t>
      </w:r>
      <w:r>
        <w:rPr>
          <w:rFonts w:ascii="楷体_GB2312" w:eastAsia="楷体_GB2312"/>
          <w:color w:val="000000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color w:val="000000"/>
        </w:rPr>
      </w:pP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  <w:lang w:eastAsia="zh-CN"/>
        </w:rPr>
        <w:t>区信访办</w:t>
      </w: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按照“预算编制有目标、预算执行有监控、预算完成有评价、评价结果有反馈、反馈结果有应用”的预算绩效管理要求，不断推进实施全面预算绩效管理，强化绩效监控，推进预算与绩效管理一体化。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结转结余率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楷体" w:eastAsia="仿宋_GB2312" w:cs="Times New Roman"/>
          <w:bCs/>
          <w:color w:val="000000"/>
          <w:kern w:val="0"/>
          <w:sz w:val="32"/>
          <w:szCs w:val="28"/>
          <w:highlight w:val="none"/>
          <w:lang w:val="en-US" w:eastAsia="zh-CN" w:bidi="ar-SA"/>
        </w:rPr>
        <w:t>截止2024年底区信访办无结转结余。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部门</w:t>
      </w:r>
      <w:r>
        <w:rPr>
          <w:rFonts w:ascii="楷体_GB2312" w:eastAsia="楷体_GB2312"/>
          <w:color w:val="000000"/>
          <w:sz w:val="32"/>
          <w:szCs w:val="32"/>
        </w:rPr>
        <w:t>预决算差异率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eastAsia="zh-CN"/>
        </w:rPr>
        <w:t>区信访办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202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val="en-US" w:eastAsia="zh-CN"/>
        </w:rPr>
        <w:t>4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897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750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85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元，年度决算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10，239，284.89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元，预决算差异率为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  <w:lang w:val="en-US" w:eastAsia="zh-CN"/>
        </w:rPr>
        <w:t>6.04</w:t>
      </w:r>
      <w:r>
        <w:rPr>
          <w:rFonts w:hint="eastAsia" w:ascii="仿宋_GB2312" w:hAnsi="楷体" w:eastAsia="仿宋_GB2312"/>
          <w:bCs/>
          <w:color w:val="auto"/>
          <w:kern w:val="0"/>
          <w:sz w:val="32"/>
          <w:szCs w:val="28"/>
        </w:rPr>
        <w:t>%，部门预决算差异率控制情况较好。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五、总体</w:t>
      </w:r>
      <w:r>
        <w:rPr>
          <w:rFonts w:ascii="黑体" w:hAnsi="黑体" w:eastAsia="黑体"/>
          <w:color w:val="00000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（一）评价</w:t>
      </w:r>
      <w:r>
        <w:rPr>
          <w:rFonts w:ascii="楷体_GB2312" w:eastAsia="楷体_GB2312"/>
          <w:color w:val="000000"/>
          <w:sz w:val="32"/>
          <w:szCs w:val="32"/>
        </w:rPr>
        <w:t>得分</w:t>
      </w:r>
      <w:r>
        <w:rPr>
          <w:rFonts w:hint="eastAsia" w:ascii="楷体_GB2312" w:eastAsia="楷体_GB2312"/>
          <w:color w:val="00000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北京市西城区信访办公室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对202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年度部门项目支出实施绩效评价，评价项目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个，占部门项目总数的100%，涉及金额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131.8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元。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自评结果为优秀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color w:val="000000"/>
          <w:sz w:val="32"/>
          <w:szCs w:val="32"/>
        </w:rPr>
        <w:t>）存在的问题及原因分析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/>
          <w:color w:val="000000"/>
        </w:rPr>
      </w:pPr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lang w:val="en-US" w:eastAsia="zh-CN"/>
        </w:rPr>
        <w:t>预算编制精准度不足，部分项目在预算执行过程中涉及调整，项目工作任务和预算需求匹配性有待加强，预算控制意识还需提高。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ind w:left="105" w:leftChars="50" w:firstLine="480" w:firstLineChars="15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楷体" w:eastAsia="仿宋_GB2312"/>
          <w:bCs/>
          <w:kern w:val="0"/>
          <w:sz w:val="32"/>
          <w:szCs w:val="28"/>
          <w:highlight w:val="none"/>
        </w:rPr>
      </w:pPr>
      <w:bookmarkStart w:id="0" w:name="_Toc72401385"/>
      <w:r>
        <w:rPr>
          <w:rFonts w:hint="eastAsia" w:ascii="仿宋_GB2312" w:hAnsi="楷体" w:eastAsia="仿宋_GB2312"/>
          <w:bCs/>
          <w:color w:val="000000"/>
          <w:kern w:val="0"/>
          <w:sz w:val="32"/>
          <w:szCs w:val="28"/>
          <w:highlight w:val="none"/>
        </w:rPr>
        <w:t>1.进一步提高绩效管理意识，加强</w:t>
      </w: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绩效目标管理，绩效目标设置与部门职责职能和预算、重点工作任务紧密结合，指标设置应对应年度履职的重点项目任务细化、量化，增强可考核性；加强项目决策过程科学、规范性，提高项目资金测算的合理性；加强项目预算评审，严格审核项目资金的测算依据和标准，提高项目预算编制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楷体" w:eastAsia="仿宋_GB2312"/>
          <w:bCs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2.健全完善项目实施方案。根据项目以前年度实施情况或预期计划，制定项目整体实施方案，发挥整体方案的指导意义。加强项目活动方案的完整性，按项目管理要求明确项目实施目的、内容、组织方式、组织机构和职责分工，以及管理控制措施和预期风险应对措施等，并逐步制定可替代方案，加强项目统筹和顶层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</w:pPr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3.注重部门整体和项目预算绩效过程资料的收集、分析，提高资料收集的及时性和完整性。</w:t>
      </w:r>
      <w:bookmarkEnd w:id="0"/>
      <w:r>
        <w:rPr>
          <w:rFonts w:hint="eastAsia" w:ascii="仿宋_GB2312" w:hAnsi="楷体" w:eastAsia="仿宋_GB2312"/>
          <w:bCs/>
          <w:kern w:val="0"/>
          <w:sz w:val="32"/>
          <w:szCs w:val="28"/>
          <w:highlight w:val="none"/>
        </w:rPr>
        <w:t>特别要注重对项目质量和效益的挖掘，用效果资料和数据来支撑项目效益。精准定位项目服务对象，选择适当的方式、方法开展服务对象满意度调查及分析，充分反映项目服务对象满意程度。</w:t>
      </w:r>
    </w:p>
    <w:p>
      <w:pPr>
        <w:keepNext w:val="0"/>
        <w:keepLines w:val="0"/>
        <w:pageBreakBefore w:val="0"/>
        <w:widowControl w:val="0"/>
        <w:wordWrap/>
        <w:overflowPunct/>
        <w:bidi w:val="0"/>
        <w:adjustRightInd/>
        <w:snapToGrid/>
        <w:spacing w:line="560" w:lineRule="exact"/>
        <w:textAlignment w:val="auto"/>
        <w:rPr>
          <w:rFonts w:hint="eastAsia" w:eastAsia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AD000"/>
    <w:multiLevelType w:val="singleLevel"/>
    <w:tmpl w:val="65BAD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125A8"/>
    <w:rsid w:val="00704F90"/>
    <w:rsid w:val="009B7691"/>
    <w:rsid w:val="00AD71AA"/>
    <w:rsid w:val="00C8633E"/>
    <w:rsid w:val="00DE445A"/>
    <w:rsid w:val="012A4A22"/>
    <w:rsid w:val="014F06DD"/>
    <w:rsid w:val="01CA7BD3"/>
    <w:rsid w:val="029C6A79"/>
    <w:rsid w:val="0334466D"/>
    <w:rsid w:val="04B048E9"/>
    <w:rsid w:val="04FF23EB"/>
    <w:rsid w:val="05192B07"/>
    <w:rsid w:val="05F94816"/>
    <w:rsid w:val="06913371"/>
    <w:rsid w:val="06964507"/>
    <w:rsid w:val="069937A5"/>
    <w:rsid w:val="072A3659"/>
    <w:rsid w:val="078713BA"/>
    <w:rsid w:val="07AC7409"/>
    <w:rsid w:val="07B45EF9"/>
    <w:rsid w:val="07DE6735"/>
    <w:rsid w:val="08E52B89"/>
    <w:rsid w:val="08EA2B91"/>
    <w:rsid w:val="08EA7DD0"/>
    <w:rsid w:val="0978327E"/>
    <w:rsid w:val="0AC323FC"/>
    <w:rsid w:val="0AE037FF"/>
    <w:rsid w:val="0AE657AB"/>
    <w:rsid w:val="0B3D6643"/>
    <w:rsid w:val="0B412BC9"/>
    <w:rsid w:val="0B871206"/>
    <w:rsid w:val="0BAE649D"/>
    <w:rsid w:val="0BC02B17"/>
    <w:rsid w:val="0CE32C85"/>
    <w:rsid w:val="0D182764"/>
    <w:rsid w:val="0D533D5B"/>
    <w:rsid w:val="0E5235BF"/>
    <w:rsid w:val="0EA2674E"/>
    <w:rsid w:val="0EAD657C"/>
    <w:rsid w:val="0F096F77"/>
    <w:rsid w:val="0F656077"/>
    <w:rsid w:val="0F951F00"/>
    <w:rsid w:val="0FB21ED8"/>
    <w:rsid w:val="0FC86C35"/>
    <w:rsid w:val="0FF33933"/>
    <w:rsid w:val="101B2338"/>
    <w:rsid w:val="10A510D2"/>
    <w:rsid w:val="11C86B93"/>
    <w:rsid w:val="11CD7DF9"/>
    <w:rsid w:val="129358DE"/>
    <w:rsid w:val="129E2703"/>
    <w:rsid w:val="13CF2F52"/>
    <w:rsid w:val="1419424C"/>
    <w:rsid w:val="14AF7684"/>
    <w:rsid w:val="15C226D1"/>
    <w:rsid w:val="16185C0C"/>
    <w:rsid w:val="16221FD9"/>
    <w:rsid w:val="163C6D24"/>
    <w:rsid w:val="164E1F26"/>
    <w:rsid w:val="16D14D70"/>
    <w:rsid w:val="16F94D34"/>
    <w:rsid w:val="172974BA"/>
    <w:rsid w:val="177D2178"/>
    <w:rsid w:val="177E5DBA"/>
    <w:rsid w:val="17BD37F5"/>
    <w:rsid w:val="17D83140"/>
    <w:rsid w:val="18121DD3"/>
    <w:rsid w:val="188102EF"/>
    <w:rsid w:val="18863219"/>
    <w:rsid w:val="18CD4006"/>
    <w:rsid w:val="18EA10DD"/>
    <w:rsid w:val="18F673C1"/>
    <w:rsid w:val="19332A86"/>
    <w:rsid w:val="198C2475"/>
    <w:rsid w:val="19C4226A"/>
    <w:rsid w:val="19C80CFB"/>
    <w:rsid w:val="1A69145E"/>
    <w:rsid w:val="1AB81A94"/>
    <w:rsid w:val="1B131FDB"/>
    <w:rsid w:val="1B382545"/>
    <w:rsid w:val="1B550458"/>
    <w:rsid w:val="1BAD2408"/>
    <w:rsid w:val="1D2738EC"/>
    <w:rsid w:val="1DAD7EE8"/>
    <w:rsid w:val="1DE45A66"/>
    <w:rsid w:val="1E794715"/>
    <w:rsid w:val="1F1F0EB3"/>
    <w:rsid w:val="1F553127"/>
    <w:rsid w:val="1F856566"/>
    <w:rsid w:val="1FB57F40"/>
    <w:rsid w:val="200A00EC"/>
    <w:rsid w:val="20933424"/>
    <w:rsid w:val="20D355F1"/>
    <w:rsid w:val="21930FDB"/>
    <w:rsid w:val="21D34F9B"/>
    <w:rsid w:val="21F64928"/>
    <w:rsid w:val="22CF1124"/>
    <w:rsid w:val="24BA0622"/>
    <w:rsid w:val="25106BD1"/>
    <w:rsid w:val="254316A7"/>
    <w:rsid w:val="2643712F"/>
    <w:rsid w:val="26E3225A"/>
    <w:rsid w:val="27951CCA"/>
    <w:rsid w:val="27F83A39"/>
    <w:rsid w:val="28110899"/>
    <w:rsid w:val="28EB1090"/>
    <w:rsid w:val="29D62F5E"/>
    <w:rsid w:val="2A112520"/>
    <w:rsid w:val="2B1B52A7"/>
    <w:rsid w:val="2B8D5A49"/>
    <w:rsid w:val="2BBA2157"/>
    <w:rsid w:val="2C7E070C"/>
    <w:rsid w:val="2CE869DB"/>
    <w:rsid w:val="2CF67938"/>
    <w:rsid w:val="2D072D5A"/>
    <w:rsid w:val="2D232DB2"/>
    <w:rsid w:val="2E2B4DC5"/>
    <w:rsid w:val="2E8E77EC"/>
    <w:rsid w:val="2F9E4E13"/>
    <w:rsid w:val="2FCA068C"/>
    <w:rsid w:val="3038782A"/>
    <w:rsid w:val="309A13DE"/>
    <w:rsid w:val="31780261"/>
    <w:rsid w:val="324E5DA9"/>
    <w:rsid w:val="32E04C25"/>
    <w:rsid w:val="32F0262C"/>
    <w:rsid w:val="337478C2"/>
    <w:rsid w:val="34306E52"/>
    <w:rsid w:val="34627A95"/>
    <w:rsid w:val="3478688C"/>
    <w:rsid w:val="34A32C64"/>
    <w:rsid w:val="3590510B"/>
    <w:rsid w:val="35E44FA9"/>
    <w:rsid w:val="361B0260"/>
    <w:rsid w:val="367B544D"/>
    <w:rsid w:val="36880978"/>
    <w:rsid w:val="369B5E6B"/>
    <w:rsid w:val="36EB7A32"/>
    <w:rsid w:val="373A6F47"/>
    <w:rsid w:val="37624F1B"/>
    <w:rsid w:val="3785204A"/>
    <w:rsid w:val="387B02A4"/>
    <w:rsid w:val="388C3429"/>
    <w:rsid w:val="38DA2B60"/>
    <w:rsid w:val="390306C4"/>
    <w:rsid w:val="395233B9"/>
    <w:rsid w:val="39733A16"/>
    <w:rsid w:val="39A5604A"/>
    <w:rsid w:val="39F963A6"/>
    <w:rsid w:val="3A4A4A04"/>
    <w:rsid w:val="3A903690"/>
    <w:rsid w:val="3ABC5613"/>
    <w:rsid w:val="3B444A68"/>
    <w:rsid w:val="3B5126F1"/>
    <w:rsid w:val="3BCA3FBC"/>
    <w:rsid w:val="3BD2566C"/>
    <w:rsid w:val="3BE103CE"/>
    <w:rsid w:val="3BEB1304"/>
    <w:rsid w:val="3C063971"/>
    <w:rsid w:val="3C2051BB"/>
    <w:rsid w:val="3C2F064A"/>
    <w:rsid w:val="3C497A49"/>
    <w:rsid w:val="3C8225AD"/>
    <w:rsid w:val="3D342BD1"/>
    <w:rsid w:val="3D3C72EB"/>
    <w:rsid w:val="3D536714"/>
    <w:rsid w:val="3DD47EF5"/>
    <w:rsid w:val="3E36591B"/>
    <w:rsid w:val="3F4F7DD0"/>
    <w:rsid w:val="3F7E5208"/>
    <w:rsid w:val="3FD5466A"/>
    <w:rsid w:val="409A0C9B"/>
    <w:rsid w:val="418D5593"/>
    <w:rsid w:val="41A00E6E"/>
    <w:rsid w:val="422D78E7"/>
    <w:rsid w:val="42845095"/>
    <w:rsid w:val="42DD6F4A"/>
    <w:rsid w:val="42FF2F1E"/>
    <w:rsid w:val="4302587A"/>
    <w:rsid w:val="434802C4"/>
    <w:rsid w:val="436F4067"/>
    <w:rsid w:val="43AC69D2"/>
    <w:rsid w:val="441062BA"/>
    <w:rsid w:val="443E791C"/>
    <w:rsid w:val="445D45B8"/>
    <w:rsid w:val="44C36F43"/>
    <w:rsid w:val="45597D6C"/>
    <w:rsid w:val="45D3112F"/>
    <w:rsid w:val="460755FA"/>
    <w:rsid w:val="46401B76"/>
    <w:rsid w:val="46BD7176"/>
    <w:rsid w:val="46C14CFF"/>
    <w:rsid w:val="46DF5F81"/>
    <w:rsid w:val="46E2733B"/>
    <w:rsid w:val="46FE56F6"/>
    <w:rsid w:val="4783216B"/>
    <w:rsid w:val="478F4717"/>
    <w:rsid w:val="47EA0A0C"/>
    <w:rsid w:val="489C688F"/>
    <w:rsid w:val="48BF3045"/>
    <w:rsid w:val="492D4FD4"/>
    <w:rsid w:val="49AE7723"/>
    <w:rsid w:val="4A5C1D73"/>
    <w:rsid w:val="4A855003"/>
    <w:rsid w:val="4AD46A09"/>
    <w:rsid w:val="4BA23549"/>
    <w:rsid w:val="4BA611F5"/>
    <w:rsid w:val="4BAD1407"/>
    <w:rsid w:val="4BBC4618"/>
    <w:rsid w:val="4C2E34F2"/>
    <w:rsid w:val="4C536AD8"/>
    <w:rsid w:val="4C6C1B8D"/>
    <w:rsid w:val="4C8D6C4B"/>
    <w:rsid w:val="4CB45444"/>
    <w:rsid w:val="4CB86339"/>
    <w:rsid w:val="4CC14205"/>
    <w:rsid w:val="4CF43F57"/>
    <w:rsid w:val="4E1C1A0B"/>
    <w:rsid w:val="4EAA657C"/>
    <w:rsid w:val="4F8570F1"/>
    <w:rsid w:val="4FDC71BB"/>
    <w:rsid w:val="4FF56927"/>
    <w:rsid w:val="50091D1D"/>
    <w:rsid w:val="50264EF3"/>
    <w:rsid w:val="50DB39A5"/>
    <w:rsid w:val="510B3BFA"/>
    <w:rsid w:val="5126470D"/>
    <w:rsid w:val="51290C54"/>
    <w:rsid w:val="516F662A"/>
    <w:rsid w:val="51A26EE7"/>
    <w:rsid w:val="52546825"/>
    <w:rsid w:val="532B2750"/>
    <w:rsid w:val="543D0306"/>
    <w:rsid w:val="54664537"/>
    <w:rsid w:val="54B5529C"/>
    <w:rsid w:val="55485121"/>
    <w:rsid w:val="557B5764"/>
    <w:rsid w:val="568E09C0"/>
    <w:rsid w:val="57240203"/>
    <w:rsid w:val="57510C9D"/>
    <w:rsid w:val="57825FB7"/>
    <w:rsid w:val="57D42CAC"/>
    <w:rsid w:val="58042A5F"/>
    <w:rsid w:val="58424A8C"/>
    <w:rsid w:val="58A30590"/>
    <w:rsid w:val="58A465F7"/>
    <w:rsid w:val="58B059AE"/>
    <w:rsid w:val="59141B1C"/>
    <w:rsid w:val="598649C6"/>
    <w:rsid w:val="59B30CDE"/>
    <w:rsid w:val="59C9070E"/>
    <w:rsid w:val="5A08019B"/>
    <w:rsid w:val="5A0C5358"/>
    <w:rsid w:val="5A100EB5"/>
    <w:rsid w:val="5AC860FA"/>
    <w:rsid w:val="5AE55ACF"/>
    <w:rsid w:val="5B4116F0"/>
    <w:rsid w:val="5B957018"/>
    <w:rsid w:val="5BEC05DB"/>
    <w:rsid w:val="5CE667E7"/>
    <w:rsid w:val="5D102BD2"/>
    <w:rsid w:val="5DF27085"/>
    <w:rsid w:val="5F0B6D45"/>
    <w:rsid w:val="5F184AD0"/>
    <w:rsid w:val="5FA27C09"/>
    <w:rsid w:val="5FC52876"/>
    <w:rsid w:val="60012CA4"/>
    <w:rsid w:val="601D47A7"/>
    <w:rsid w:val="602B4FDB"/>
    <w:rsid w:val="60632FDF"/>
    <w:rsid w:val="63011BD6"/>
    <w:rsid w:val="630F12A6"/>
    <w:rsid w:val="63202873"/>
    <w:rsid w:val="634A4169"/>
    <w:rsid w:val="63502158"/>
    <w:rsid w:val="657D565E"/>
    <w:rsid w:val="65BE19C6"/>
    <w:rsid w:val="65F70F05"/>
    <w:rsid w:val="66C14BE0"/>
    <w:rsid w:val="677F304D"/>
    <w:rsid w:val="67EF1D52"/>
    <w:rsid w:val="68C60DF5"/>
    <w:rsid w:val="6906113E"/>
    <w:rsid w:val="69165F31"/>
    <w:rsid w:val="6932006D"/>
    <w:rsid w:val="69725FEF"/>
    <w:rsid w:val="69D72D12"/>
    <w:rsid w:val="6A58441C"/>
    <w:rsid w:val="6B17538C"/>
    <w:rsid w:val="6B780E74"/>
    <w:rsid w:val="6BDE5335"/>
    <w:rsid w:val="6BF432DC"/>
    <w:rsid w:val="6CD670E8"/>
    <w:rsid w:val="6D7D03E4"/>
    <w:rsid w:val="6E023BC5"/>
    <w:rsid w:val="6E2218BA"/>
    <w:rsid w:val="6E3C42CC"/>
    <w:rsid w:val="6E6556D9"/>
    <w:rsid w:val="6E7B4DD2"/>
    <w:rsid w:val="6E992313"/>
    <w:rsid w:val="6EB160A5"/>
    <w:rsid w:val="6EFE032D"/>
    <w:rsid w:val="6F70000F"/>
    <w:rsid w:val="6FD9488B"/>
    <w:rsid w:val="70AE7C57"/>
    <w:rsid w:val="70DB52C4"/>
    <w:rsid w:val="71C22492"/>
    <w:rsid w:val="72722E17"/>
    <w:rsid w:val="72B42208"/>
    <w:rsid w:val="72B7582C"/>
    <w:rsid w:val="742C6A7F"/>
    <w:rsid w:val="74676CEA"/>
    <w:rsid w:val="74A245AE"/>
    <w:rsid w:val="74E110D9"/>
    <w:rsid w:val="74F40F80"/>
    <w:rsid w:val="75983E29"/>
    <w:rsid w:val="76053F73"/>
    <w:rsid w:val="766F6C86"/>
    <w:rsid w:val="769237D3"/>
    <w:rsid w:val="76A521F3"/>
    <w:rsid w:val="76F80498"/>
    <w:rsid w:val="771D5769"/>
    <w:rsid w:val="772F56F6"/>
    <w:rsid w:val="778539E8"/>
    <w:rsid w:val="77D21BC9"/>
    <w:rsid w:val="780125A8"/>
    <w:rsid w:val="78482A60"/>
    <w:rsid w:val="798F76CF"/>
    <w:rsid w:val="79993F1D"/>
    <w:rsid w:val="799B6AA4"/>
    <w:rsid w:val="79D86690"/>
    <w:rsid w:val="7BA744C7"/>
    <w:rsid w:val="7BF77903"/>
    <w:rsid w:val="7C0D0566"/>
    <w:rsid w:val="7C1601E1"/>
    <w:rsid w:val="7CFC6578"/>
    <w:rsid w:val="7D52047F"/>
    <w:rsid w:val="7D8A58D2"/>
    <w:rsid w:val="7DDE3286"/>
    <w:rsid w:val="7E2913FE"/>
    <w:rsid w:val="7E2F5BAE"/>
    <w:rsid w:val="7E7260E7"/>
    <w:rsid w:val="7E784528"/>
    <w:rsid w:val="7E907E2D"/>
    <w:rsid w:val="7EA24A83"/>
    <w:rsid w:val="7F1A7387"/>
    <w:rsid w:val="7F4A0910"/>
    <w:rsid w:val="7F597A48"/>
    <w:rsid w:val="7F906C9D"/>
    <w:rsid w:val="7FC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toc 3"/>
    <w:basedOn w:val="1"/>
    <w:next w:val="1"/>
    <w:qFormat/>
    <w:uiPriority w:val="99"/>
    <w:pPr>
      <w:spacing w:line="640" w:lineRule="exact"/>
      <w:ind w:firstLine="720" w:firstLineChars="200"/>
    </w:pPr>
    <w:rPr>
      <w:rFonts w:ascii="仿宋_GB2312" w:eastAsia="仿宋_GB2312"/>
      <w:sz w:val="36"/>
      <w:szCs w:val="36"/>
    </w:r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2025-07-25T03:32:00Z</dcterms:created>
  <dc:creator>Administrator</dc:creator>
  <cp:lastModifiedBy>Administrator</cp:lastModifiedBy>
  <cp:lastPrinted>2025-08-27T08:45:08Z</cp:lastPrinted>
  <dcterms:modified xsi:type="dcterms:W3CDTF">2025-08-27T08:46:22Z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0B429E5825D046AF9F0E9907A871C5B3</vt:lpwstr>
  </property>
</Properties>
</file>