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423"/>
        <w:gridCol w:w="134"/>
        <w:gridCol w:w="494"/>
        <w:gridCol w:w="63"/>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2024</w:t>
            </w:r>
            <w:r>
              <w:rPr>
                <w:rFonts w:hint="eastAsia" w:ascii="宋体" w:hAnsi="宋体" w:eastAsia="宋体" w:cs="宋体"/>
                <w:kern w:val="0"/>
                <w:sz w:val="22"/>
                <w:szCs w:val="24"/>
              </w:rPr>
              <w:t xml:space="preserve">  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法律服务费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0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bookmarkStart w:id="0" w:name="_GoBack"/>
            <w:bookmarkEnd w:id="0"/>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11.95</w:t>
            </w: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99.58%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126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2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5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11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提升信访法治化建设的能力和水平，提高信访工作依法行政的能力，推动全区信访重点矛盾纠纷有效化解。进一步规范依法分类处理信访诉求工作，助力群众合理合法诉求依照法律规定和程序就能得到合理合法结果的实现。</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4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kern w:val="0"/>
                <w:sz w:val="18"/>
                <w:szCs w:val="18"/>
                <w:lang w:val="en-US" w:eastAsia="zh-CN"/>
              </w:rPr>
              <w:t>指标1：提供12个月的法律咨询和参与全区信访重点矛盾纠纷化解工作</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指标1：对重大、疑难、复杂的信访问题进行法律专业层面审核，加强信访工作法治化建设</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优良</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中差</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9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指标2：协助处理相关行政复议及行政诉讼案件</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优良</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中差</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3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指标3：按照市信访办“一轴两翼”中关于律师参与信访工作的相关工作要求，聘请律师参与疑难复杂信访问题化解评议工作</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优良</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中差</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指标1：全年</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eastAsia="宋体" w:cs="宋体"/>
                <w:kern w:val="0"/>
                <w:sz w:val="18"/>
                <w:szCs w:val="18"/>
              </w:rPr>
            </w:pPr>
            <w:r>
              <w:rPr>
                <w:rFonts w:hint="eastAsia" w:ascii="宋体" w:hAnsi="宋体" w:eastAsia="宋体" w:cs="宋体"/>
                <w:kern w:val="0"/>
                <w:sz w:val="18"/>
                <w:szCs w:val="18"/>
                <w:lang w:val="en-US" w:eastAsia="zh-CN"/>
              </w:rPr>
              <w:t>成本指标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项目预算控制数</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22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指标1：提升信访法治化建设的能力和水平，提高信访工作依法行政的能力，推动全区信访重点矛盾纠纷有效化解。进一步规范依法分类处理信访诉求工作，助力群众合理合法诉求依照法律规定和程序就能得到合理合法结果的实现。</w:t>
            </w:r>
          </w:p>
        </w:tc>
        <w:tc>
          <w:tcPr>
            <w:tcW w:w="839"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优良</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中差</w:t>
            </w:r>
          </w:p>
        </w:tc>
        <w:tc>
          <w:tcPr>
            <w:tcW w:w="83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p>
        </w:tc>
      </w:tr>
      <w:tr>
        <w:tblPrEx>
          <w:tblCellMar>
            <w:top w:w="0" w:type="dxa"/>
            <w:left w:w="108" w:type="dxa"/>
            <w:bottom w:w="0" w:type="dxa"/>
            <w:right w:w="108" w:type="dxa"/>
          </w:tblCellMar>
        </w:tblPrEx>
        <w:trPr>
          <w:trHeight w:val="11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帮助信访部门及信访人得到专业法律建议。</w:t>
            </w:r>
          </w:p>
        </w:tc>
        <w:tc>
          <w:tcPr>
            <w:tcW w:w="8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优良</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中差</w:t>
            </w:r>
          </w:p>
        </w:tc>
        <w:tc>
          <w:tcPr>
            <w:tcW w:w="83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优</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sectPr>
          <w:footerReference r:id="rId5" w:type="first"/>
          <w:footerReference r:id="rId3" w:type="default"/>
          <w:footerReference r:id="rId4" w:type="even"/>
          <w:pgSz w:w="11906" w:h="16838"/>
          <w:pgMar w:top="720" w:right="720" w:bottom="720" w:left="720" w:header="737" w:footer="851" w:gutter="0"/>
          <w:pgNumType w:fmt="numberInDash"/>
          <w:cols w:space="720" w:num="1"/>
          <w:docGrid w:type="lines" w:linePitch="408" w:charSpace="0"/>
        </w:sectPr>
      </w:pPr>
    </w:p>
    <w:p>
      <w:pPr>
        <w:spacing w:line="600" w:lineRule="exact"/>
        <w:rPr>
          <w:rFonts w:ascii="宋体" w:hAnsi="宋体" w:eastAsia="宋体" w:cs="宋体"/>
          <w:b/>
          <w:color w:val="000000"/>
          <w:kern w:val="0"/>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19731EAC"/>
    <w:rsid w:val="2BC22488"/>
    <w:rsid w:val="4BA7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Words>
  <Characters>1002</Characters>
  <Lines>8</Lines>
  <Paragraphs>2</Paragraphs>
  <TotalTime>6</TotalTime>
  <ScaleCrop>false</ScaleCrop>
  <LinksUpToDate>false</LinksUpToDate>
  <CharactersWithSpaces>1175</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Administrator</cp:lastModifiedBy>
  <cp:lastPrinted>2025-08-27T08:45:00Z</cp:lastPrinted>
  <dcterms:modified xsi:type="dcterms:W3CDTF">2025-08-27T09:36:40Z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9B0D6BD9E6D64FF2B616B0BF60A3C082</vt:lpwstr>
  </property>
</Properties>
</file>