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文联协会工作经费项目绩效评价报告</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一、基本情况</w:t>
      </w:r>
    </w:p>
    <w:p>
      <w:pPr>
        <w:ind w:firstLine="600" w:firstLineChars="200"/>
        <w:rPr>
          <w:rFonts w:hint="eastAsia" w:ascii="仿宋" w:hAnsi="仿宋" w:eastAsia="仿宋"/>
          <w:bCs/>
          <w:sz w:val="30"/>
          <w:szCs w:val="30"/>
        </w:rPr>
      </w:pPr>
      <w:r>
        <w:rPr>
          <w:rFonts w:hint="eastAsia" w:ascii="仿宋" w:hAnsi="仿宋" w:eastAsia="仿宋"/>
          <w:bCs/>
          <w:sz w:val="30"/>
          <w:szCs w:val="30"/>
        </w:rPr>
        <w:t>（一）项目概况</w:t>
      </w:r>
    </w:p>
    <w:p>
      <w:pPr>
        <w:ind w:firstLine="600" w:firstLineChars="200"/>
        <w:rPr>
          <w:rFonts w:hint="eastAsia" w:ascii="仿宋" w:hAnsi="仿宋" w:eastAsia="仿宋"/>
          <w:bCs/>
          <w:sz w:val="30"/>
          <w:szCs w:val="30"/>
        </w:rPr>
      </w:pPr>
      <w:r>
        <w:rPr>
          <w:rFonts w:hint="eastAsia" w:ascii="仿宋" w:hAnsi="仿宋" w:eastAsia="仿宋"/>
          <w:bCs/>
          <w:sz w:val="30"/>
          <w:szCs w:val="30"/>
        </w:rPr>
        <w:t>西城区文联所属10个艺术家协会，各艺术家协会每年围绕区委区政府中心工作，根据全区宣传文化工作的总体安排，积极动员本协会所属艺术家，开展形式多样的文化惠民活动，并创作大量反映西城区建设和发展实践的文艺作品，充分发挥各协会职能作用。</w:t>
      </w:r>
    </w:p>
    <w:p>
      <w:pPr>
        <w:ind w:firstLine="600" w:firstLineChars="200"/>
        <w:rPr>
          <w:rFonts w:hint="eastAsia" w:ascii="仿宋" w:hAnsi="仿宋" w:eastAsia="仿宋"/>
          <w:sz w:val="30"/>
          <w:szCs w:val="30"/>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年文联协会工作经费预算金额共计13</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万元</w:t>
      </w:r>
      <w:r>
        <w:rPr>
          <w:rFonts w:hint="eastAsia" w:ascii="仿宋" w:hAnsi="仿宋" w:eastAsia="仿宋"/>
          <w:sz w:val="30"/>
          <w:szCs w:val="30"/>
          <w:highlight w:val="none"/>
          <w:lang w:eastAsia="zh-CN"/>
        </w:rPr>
        <w:t>，</w:t>
      </w:r>
      <w:r>
        <w:rPr>
          <w:rFonts w:hint="eastAsia" w:ascii="仿宋" w:hAnsi="仿宋" w:eastAsia="仿宋"/>
          <w:sz w:val="30"/>
          <w:szCs w:val="30"/>
          <w:highlight w:val="none"/>
        </w:rPr>
        <w:t>实际支出133.96万元，主要用于统筹策划和开展各类主题文艺展览和文艺演出，包括举办有影响力的品牌活动，如：西城曲艺传习社</w:t>
      </w:r>
      <w:r>
        <w:rPr>
          <w:rFonts w:hint="eastAsia" w:ascii="仿宋" w:hAnsi="仿宋" w:eastAsia="仿宋"/>
          <w:sz w:val="30"/>
          <w:szCs w:val="30"/>
          <w:highlight w:val="none"/>
          <w:lang w:eastAsia="zh-CN"/>
        </w:rPr>
        <w:t>、</w:t>
      </w:r>
      <w:r>
        <w:rPr>
          <w:rFonts w:hint="eastAsia" w:ascii="仿宋" w:hAnsi="仿宋" w:eastAsia="仿宋"/>
          <w:sz w:val="30"/>
          <w:szCs w:val="30"/>
          <w:highlight w:val="none"/>
        </w:rPr>
        <w:t>河之端·源远流长运河情——大运河沿线书画摄影展、京津冀协同发展10周年书法交流展等；围绕中国传统节日举办的活动，如：“福满京城 春贺神州”春节送福活动、“城之源 都之始 河之端——明月传情·中秋共融”非遗项目展演、展示及体验活动以及协会的财务委托管理费、审计、年检等日常管理费用。</w:t>
      </w:r>
    </w:p>
    <w:p>
      <w:pPr>
        <w:ind w:firstLine="600" w:firstLineChars="200"/>
        <w:rPr>
          <w:rFonts w:hint="eastAsia" w:ascii="仿宋" w:hAnsi="仿宋" w:eastAsia="仿宋"/>
          <w:bCs/>
          <w:sz w:val="30"/>
          <w:szCs w:val="30"/>
        </w:rPr>
      </w:pPr>
      <w:r>
        <w:rPr>
          <w:rFonts w:hint="eastAsia" w:ascii="仿宋" w:hAnsi="仿宋" w:eastAsia="仿宋"/>
          <w:bCs/>
          <w:sz w:val="30"/>
          <w:szCs w:val="30"/>
        </w:rPr>
        <w:t>（二）项目绩效目标</w:t>
      </w:r>
    </w:p>
    <w:p>
      <w:pPr>
        <w:ind w:firstLine="600" w:firstLineChars="200"/>
        <w:rPr>
          <w:rFonts w:hint="eastAsia" w:ascii="仿宋" w:hAnsi="仿宋" w:eastAsia="仿宋"/>
          <w:bCs/>
          <w:sz w:val="30"/>
          <w:szCs w:val="30"/>
        </w:rPr>
      </w:pPr>
      <w:r>
        <w:rPr>
          <w:rFonts w:hint="eastAsia" w:ascii="仿宋" w:hAnsi="仿宋" w:eastAsia="仿宋"/>
          <w:bCs/>
          <w:sz w:val="30"/>
          <w:szCs w:val="30"/>
        </w:rPr>
        <w:t>总体目标：繁荣发展社会主义文艺，弘扬中华传统文化，宣传社会主义核心价值观，以文艺精品感动人、教育人，树立典型榜样，弘扬正能量，在推进全国文化中心建设中发挥作用。为文艺家提供创作和展示才艺的平台，提高人民群众文化修养和艺术欣赏水平。</w:t>
      </w:r>
    </w:p>
    <w:p>
      <w:pPr>
        <w:ind w:firstLine="600" w:firstLineChars="200"/>
        <w:rPr>
          <w:rFonts w:hint="eastAsia" w:ascii="仿宋" w:hAnsi="仿宋" w:eastAsia="仿宋"/>
          <w:bCs/>
          <w:sz w:val="30"/>
          <w:szCs w:val="30"/>
        </w:rPr>
      </w:pPr>
      <w:r>
        <w:rPr>
          <w:rFonts w:hint="eastAsia" w:ascii="仿宋" w:hAnsi="仿宋" w:eastAsia="仿宋"/>
          <w:bCs/>
          <w:sz w:val="30"/>
          <w:szCs w:val="30"/>
        </w:rPr>
        <w:t>阶段性目标：通过联系各艺术家协会，组织文艺家深入社会生活进行艺术创作、进行作品的展览、展示。开展文艺下基层、主题文艺创作、文艺演出等，丰富人民群众的文化生活。</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二、绩效评价工作开展情况</w:t>
      </w:r>
    </w:p>
    <w:p>
      <w:pPr>
        <w:ind w:firstLine="600" w:firstLineChars="200"/>
        <w:rPr>
          <w:rFonts w:hint="eastAsia" w:ascii="仿宋" w:hAnsi="仿宋" w:eastAsia="仿宋"/>
          <w:bCs/>
          <w:sz w:val="30"/>
          <w:szCs w:val="30"/>
        </w:rPr>
      </w:pPr>
      <w:r>
        <w:rPr>
          <w:rFonts w:hint="eastAsia" w:ascii="仿宋" w:hAnsi="仿宋" w:eastAsia="仿宋"/>
          <w:bCs/>
          <w:sz w:val="30"/>
          <w:szCs w:val="30"/>
        </w:rPr>
        <w:t>（一）绩效评价目的、对象和范围</w:t>
      </w:r>
    </w:p>
    <w:p>
      <w:pPr>
        <w:ind w:firstLine="600" w:firstLineChars="200"/>
        <w:rPr>
          <w:rFonts w:hint="eastAsia" w:ascii="仿宋" w:hAnsi="仿宋" w:eastAsia="仿宋"/>
          <w:bCs/>
          <w:sz w:val="30"/>
          <w:szCs w:val="30"/>
        </w:rPr>
      </w:pPr>
      <w:r>
        <w:rPr>
          <w:rFonts w:hint="eastAsia" w:ascii="仿宋" w:hAnsi="仿宋" w:eastAsia="仿宋"/>
          <w:bCs/>
          <w:sz w:val="30"/>
          <w:szCs w:val="30"/>
        </w:rPr>
        <w:t>1.绩效评价目的</w:t>
      </w:r>
    </w:p>
    <w:p>
      <w:pPr>
        <w:ind w:firstLine="600" w:firstLineChars="200"/>
        <w:rPr>
          <w:rFonts w:hint="eastAsia" w:ascii="仿宋" w:hAnsi="仿宋" w:eastAsia="仿宋"/>
          <w:bCs/>
          <w:sz w:val="30"/>
          <w:szCs w:val="30"/>
          <w:lang w:eastAsia="zh-CN"/>
        </w:rPr>
      </w:pPr>
      <w:r>
        <w:rPr>
          <w:rFonts w:hint="eastAsia" w:ascii="仿宋" w:hAnsi="仿宋" w:eastAsia="仿宋"/>
          <w:bCs/>
          <w:sz w:val="30"/>
          <w:szCs w:val="30"/>
        </w:rPr>
        <w:t>通过本次绩效评价，总结项目实际执行、过程管理、资金使用等方面的经验，查找项目中存在的问题，并提出相关管理建议，从而加强对协会的指导和管理，提升协会工作规范化水平，确保协会对经费使用做到精、准、细、严，促进协会工作进一步提质增效。</w:t>
      </w:r>
    </w:p>
    <w:p>
      <w:pPr>
        <w:ind w:firstLine="600" w:firstLineChars="200"/>
        <w:rPr>
          <w:rFonts w:hint="eastAsia" w:ascii="仿宋" w:hAnsi="仿宋" w:eastAsia="仿宋"/>
          <w:bCs/>
          <w:sz w:val="30"/>
          <w:szCs w:val="30"/>
        </w:rPr>
      </w:pPr>
      <w:r>
        <w:rPr>
          <w:rFonts w:hint="eastAsia" w:ascii="仿宋" w:hAnsi="仿宋" w:eastAsia="仿宋"/>
          <w:bCs/>
          <w:sz w:val="30"/>
          <w:szCs w:val="30"/>
        </w:rPr>
        <w:t>2.评价对象和范围</w:t>
      </w:r>
    </w:p>
    <w:p>
      <w:pPr>
        <w:ind w:firstLine="600" w:firstLineChars="200"/>
        <w:rPr>
          <w:rFonts w:hint="eastAsia" w:ascii="仿宋" w:hAnsi="仿宋" w:eastAsia="仿宋"/>
          <w:bCs/>
          <w:sz w:val="30"/>
          <w:szCs w:val="30"/>
        </w:rPr>
      </w:pPr>
      <w:r>
        <w:rPr>
          <w:rFonts w:hint="eastAsia" w:ascii="仿宋" w:hAnsi="仿宋" w:eastAsia="仿宋"/>
          <w:bCs/>
          <w:sz w:val="30"/>
          <w:szCs w:val="30"/>
        </w:rPr>
        <w:t>本次绩效评价对象为文联协会工作经费项目，</w:t>
      </w:r>
      <w:r>
        <w:rPr>
          <w:rFonts w:hint="eastAsia" w:ascii="仿宋" w:hAnsi="仿宋" w:eastAsia="仿宋"/>
          <w:bCs/>
          <w:sz w:val="30"/>
          <w:szCs w:val="30"/>
          <w:highlight w:val="none"/>
        </w:rPr>
        <w:t>评价范围为文联协会工作经费项目</w:t>
      </w:r>
      <w:r>
        <w:rPr>
          <w:rFonts w:hint="eastAsia" w:ascii="仿宋" w:hAnsi="仿宋" w:eastAsia="仿宋"/>
          <w:sz w:val="30"/>
          <w:szCs w:val="30"/>
          <w:highlight w:val="none"/>
        </w:rPr>
        <w:t>13</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bCs/>
          <w:sz w:val="30"/>
          <w:szCs w:val="30"/>
          <w:highlight w:val="none"/>
        </w:rPr>
        <w:t>万元，</w:t>
      </w:r>
      <w:r>
        <w:rPr>
          <w:rFonts w:hint="eastAsia" w:ascii="仿宋" w:hAnsi="仿宋" w:eastAsia="仿宋"/>
          <w:bCs/>
          <w:sz w:val="30"/>
          <w:szCs w:val="30"/>
        </w:rPr>
        <w:t>涉及工作内容主要为协会承办开展的各类</w:t>
      </w:r>
      <w:r>
        <w:rPr>
          <w:rFonts w:hint="eastAsia" w:ascii="仿宋" w:hAnsi="仿宋" w:eastAsia="仿宋"/>
          <w:sz w:val="30"/>
          <w:szCs w:val="30"/>
        </w:rPr>
        <w:t>主题文艺展览和文艺演出、文艺惠民活动，协会的财务委托管理费、审计、年检等日常管理费用。</w:t>
      </w:r>
    </w:p>
    <w:p>
      <w:pPr>
        <w:ind w:firstLine="600" w:firstLineChars="200"/>
        <w:rPr>
          <w:rFonts w:hint="eastAsia" w:ascii="仿宋" w:hAnsi="仿宋" w:eastAsia="仿宋"/>
          <w:bCs/>
          <w:sz w:val="30"/>
          <w:szCs w:val="30"/>
        </w:rPr>
      </w:pPr>
      <w:r>
        <w:rPr>
          <w:rFonts w:hint="eastAsia" w:ascii="仿宋" w:hAnsi="仿宋" w:eastAsia="仿宋"/>
          <w:bCs/>
          <w:sz w:val="30"/>
          <w:szCs w:val="30"/>
        </w:rPr>
        <w:t>（二）绩效评价原则、评价指标体系（附表说明）、评价方法、评价标准等</w:t>
      </w:r>
    </w:p>
    <w:p>
      <w:pPr>
        <w:ind w:firstLine="600" w:firstLineChars="200"/>
        <w:rPr>
          <w:rFonts w:hint="eastAsia" w:ascii="仿宋" w:hAnsi="仿宋" w:eastAsia="仿宋"/>
          <w:sz w:val="30"/>
          <w:szCs w:val="30"/>
        </w:rPr>
      </w:pPr>
      <w:r>
        <w:rPr>
          <w:rFonts w:hint="eastAsia" w:ascii="仿宋" w:hAnsi="仿宋" w:eastAsia="仿宋"/>
          <w:sz w:val="30"/>
          <w:szCs w:val="30"/>
        </w:rPr>
        <w:t>本次绩效评价按照系统性、实用性、有效性、动态性原则，采取定性评价与定量评价相结合的方式，通过资料核查、现场检查、满意度调查等方式科学评估文联协会工作经费项目实施情况。评价指标体系如下表所示。</w:t>
      </w:r>
    </w:p>
    <w:p>
      <w:pPr>
        <w:jc w:val="center"/>
        <w:rPr>
          <w:rFonts w:hint="eastAsia" w:ascii="仿宋" w:hAnsi="仿宋" w:eastAsia="仿宋"/>
          <w:b/>
          <w:bCs/>
          <w:sz w:val="30"/>
          <w:szCs w:val="30"/>
        </w:rPr>
      </w:pPr>
      <w:r>
        <w:rPr>
          <w:rFonts w:hint="eastAsia" w:ascii="仿宋" w:hAnsi="仿宋" w:eastAsia="仿宋"/>
          <w:b/>
          <w:bCs/>
          <w:sz w:val="30"/>
          <w:szCs w:val="30"/>
        </w:rPr>
        <w:t>项目绩效目标表</w:t>
      </w:r>
    </w:p>
    <w:tbl>
      <w:tblPr>
        <w:tblStyle w:val="14"/>
        <w:tblW w:w="9072" w:type="dxa"/>
        <w:tblInd w:w="103" w:type="dxa"/>
        <w:tblLayout w:type="fixed"/>
        <w:tblCellMar>
          <w:top w:w="0" w:type="dxa"/>
          <w:left w:w="108" w:type="dxa"/>
          <w:bottom w:w="0" w:type="dxa"/>
          <w:right w:w="108" w:type="dxa"/>
        </w:tblCellMar>
      </w:tblPr>
      <w:tblGrid>
        <w:gridCol w:w="1308"/>
        <w:gridCol w:w="1575"/>
        <w:gridCol w:w="2910"/>
        <w:gridCol w:w="3279"/>
      </w:tblGrid>
      <w:tr>
        <w:tblPrEx>
          <w:tblCellMar>
            <w:top w:w="0" w:type="dxa"/>
            <w:left w:w="108" w:type="dxa"/>
            <w:bottom w:w="0" w:type="dxa"/>
            <w:right w:w="108" w:type="dxa"/>
          </w:tblCellMar>
        </w:tblPrEx>
        <w:trPr>
          <w:trHeight w:val="503" w:hRule="atLeast"/>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575"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
                <w:bCs/>
                <w:color w:val="000000"/>
                <w:szCs w:val="21"/>
              </w:rPr>
            </w:pPr>
            <w:r>
              <w:rPr>
                <w:rFonts w:hint="eastAsia" w:ascii="仿宋_GB2312" w:eastAsia="仿宋_GB2312"/>
                <w:b/>
                <w:bCs/>
                <w:color w:val="000000"/>
                <w:szCs w:val="21"/>
              </w:rPr>
              <w:t>二级指标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
                <w:bCs/>
                <w:color w:val="000000"/>
                <w:szCs w:val="21"/>
              </w:rPr>
            </w:pPr>
            <w:r>
              <w:rPr>
                <w:rFonts w:hint="eastAsia" w:ascii="仿宋_GB2312" w:eastAsia="仿宋_GB2312"/>
                <w:b/>
                <w:bCs/>
                <w:color w:val="000000"/>
                <w:szCs w:val="21"/>
              </w:rPr>
              <w:t>三级指标</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
                <w:bCs/>
                <w:color w:val="000000"/>
                <w:szCs w:val="21"/>
              </w:rPr>
            </w:pPr>
            <w:r>
              <w:rPr>
                <w:rFonts w:hint="eastAsia" w:ascii="仿宋_GB2312" w:eastAsia="仿宋_GB2312"/>
                <w:b/>
                <w:bCs/>
                <w:color w:val="000000"/>
                <w:szCs w:val="21"/>
              </w:rPr>
              <w:t>指标值</w:t>
            </w:r>
          </w:p>
        </w:tc>
      </w:tr>
      <w:tr>
        <w:tblPrEx>
          <w:tblCellMar>
            <w:top w:w="0" w:type="dxa"/>
            <w:left w:w="108" w:type="dxa"/>
            <w:bottom w:w="0" w:type="dxa"/>
            <w:right w:w="108" w:type="dxa"/>
          </w:tblCellMar>
        </w:tblPrEx>
        <w:trPr>
          <w:trHeight w:val="312" w:hRule="atLeast"/>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575"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经济成本指标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10家文艺家协会日常活动和管理运营成本</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13</w:t>
            </w:r>
            <w:r>
              <w:rPr>
                <w:rFonts w:hint="eastAsia" w:ascii="仿宋_GB2312" w:eastAsia="仿宋_GB2312"/>
                <w:color w:val="000000"/>
                <w:szCs w:val="21"/>
                <w:lang w:val="en-US" w:eastAsia="zh-CN"/>
              </w:rPr>
              <w:t>6</w:t>
            </w:r>
            <w:r>
              <w:rPr>
                <w:rFonts w:hint="eastAsia" w:ascii="仿宋_GB2312" w:eastAsia="仿宋_GB2312"/>
                <w:color w:val="000000"/>
                <w:szCs w:val="21"/>
              </w:rPr>
              <w:t>.4万元</w:t>
            </w:r>
          </w:p>
        </w:tc>
      </w:tr>
      <w:tr>
        <w:tblPrEx>
          <w:tblCellMar>
            <w:top w:w="0" w:type="dxa"/>
            <w:left w:w="108" w:type="dxa"/>
            <w:bottom w:w="0" w:type="dxa"/>
            <w:right w:w="108" w:type="dxa"/>
          </w:tblCellMar>
        </w:tblPrEx>
        <w:trPr>
          <w:trHeight w:val="312" w:hRule="atLeast"/>
        </w:trPr>
        <w:tc>
          <w:tcPr>
            <w:tcW w:w="130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pPr>
              <w:jc w:val="center"/>
              <w:rPr>
                <w:rFonts w:hint="eastAsia" w:ascii="仿宋_GB2312" w:hAnsi="宋体" w:eastAsia="仿宋_GB2312" w:cs="宋体"/>
                <w:color w:val="000000"/>
                <w:kern w:val="0"/>
                <w:szCs w:val="21"/>
              </w:rPr>
            </w:pPr>
          </w:p>
        </w:tc>
        <w:tc>
          <w:tcPr>
            <w:tcW w:w="1575"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数量指标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10个协会日常工作</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正常开展</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举办主题文艺展览</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lang w:val="en-US" w:eastAsia="zh-CN"/>
              </w:rPr>
              <w:t>7</w:t>
            </w:r>
            <w:bookmarkStart w:id="0" w:name="_GoBack"/>
            <w:bookmarkEnd w:id="0"/>
            <w:r>
              <w:rPr>
                <w:rFonts w:hint="eastAsia" w:ascii="仿宋_GB2312" w:eastAsia="仿宋_GB2312"/>
                <w:color w:val="000000"/>
                <w:szCs w:val="21"/>
              </w:rPr>
              <w:t>次</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文艺下基层活动</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1</w:t>
            </w:r>
            <w:r>
              <w:rPr>
                <w:rFonts w:hint="eastAsia" w:ascii="仿宋_GB2312" w:eastAsia="仿宋_GB2312"/>
                <w:color w:val="000000"/>
                <w:szCs w:val="21"/>
                <w:lang w:val="en-US" w:eastAsia="zh-CN"/>
              </w:rPr>
              <w:t>2</w:t>
            </w:r>
            <w:r>
              <w:rPr>
                <w:rFonts w:hint="eastAsia" w:ascii="仿宋_GB2312" w:eastAsia="仿宋_GB2312"/>
                <w:color w:val="000000"/>
                <w:szCs w:val="21"/>
              </w:rPr>
              <w:t>次</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举办文艺讲座</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次</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bottom w:val="single" w:color="auto" w:sz="4" w:space="0"/>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专场演出</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1次</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ign w:val="center"/>
          </w:tcPr>
          <w:p>
            <w:pPr>
              <w:jc w:val="center"/>
              <w:rPr>
                <w:rFonts w:hint="eastAsia" w:ascii="仿宋_GB2312" w:hAnsi="宋体" w:eastAsia="仿宋_GB2312" w:cs="宋体"/>
                <w:color w:val="000000"/>
                <w:kern w:val="0"/>
                <w:szCs w:val="21"/>
              </w:rPr>
            </w:pPr>
          </w:p>
        </w:tc>
        <w:tc>
          <w:tcPr>
            <w:tcW w:w="1575"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质量指标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主题文艺展览</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主题文艺展览主题突出、内容丰富，质量高，给观众留下深刻印象</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文艺演出和文艺活动</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既要传播正能量，又要具有艺术感染力，深受百姓喜爱</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color w:val="000000"/>
                <w:kern w:val="0"/>
                <w:szCs w:val="21"/>
              </w:rPr>
            </w:pPr>
          </w:p>
        </w:tc>
        <w:tc>
          <w:tcPr>
            <w:tcW w:w="1575" w:type="dxa"/>
            <w:vMerge w:val="continue"/>
            <w:tcBorders>
              <w:bottom w:val="single" w:color="auto" w:sz="4" w:space="0"/>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文艺原创作品</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紧扣时代主题，弘扬时代精神，有广泛的影响力</w:t>
            </w:r>
          </w:p>
        </w:tc>
      </w:tr>
      <w:tr>
        <w:tblPrEx>
          <w:tblCellMar>
            <w:top w:w="0" w:type="dxa"/>
            <w:left w:w="108" w:type="dxa"/>
            <w:bottom w:w="0" w:type="dxa"/>
            <w:right w:w="108" w:type="dxa"/>
          </w:tblCellMar>
        </w:tblPrEx>
        <w:trPr>
          <w:trHeight w:val="312" w:hRule="atLeast"/>
        </w:trPr>
        <w:tc>
          <w:tcPr>
            <w:tcW w:w="1308" w:type="dxa"/>
            <w:vMerge w:val="continue"/>
            <w:tcBorders>
              <w:left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p>
        </w:tc>
        <w:tc>
          <w:tcPr>
            <w:tcW w:w="1575" w:type="dxa"/>
            <w:tcBorders>
              <w:top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时效成本</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进度指标</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2024年全年</w:t>
            </w:r>
          </w:p>
        </w:tc>
      </w:tr>
      <w:tr>
        <w:tblPrEx>
          <w:tblCellMar>
            <w:top w:w="0" w:type="dxa"/>
            <w:left w:w="108" w:type="dxa"/>
            <w:bottom w:w="0" w:type="dxa"/>
            <w:right w:w="108" w:type="dxa"/>
          </w:tblCellMar>
        </w:tblPrEx>
        <w:trPr>
          <w:trHeight w:val="1245" w:hRule="atLeast"/>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tc>
        <w:tc>
          <w:tcPr>
            <w:tcW w:w="1575" w:type="dxa"/>
            <w:tcBorders>
              <w:top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社会效益指标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预期社会效益</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lang w:eastAsia="zh-CN"/>
              </w:rPr>
            </w:pPr>
            <w:r>
              <w:rPr>
                <w:rFonts w:hint="eastAsia" w:ascii="仿宋_GB2312" w:eastAsia="仿宋_GB2312"/>
                <w:color w:val="000000"/>
                <w:szCs w:val="21"/>
              </w:rPr>
              <w:t>繁荣发展社会主义文艺，弘扬中华传统文化，宣传社会主义核心价值观，以文艺精品感动人、教育人，树立典型榜样，弘扬正能量，在推进全国文化中心建设中发挥作用。</w:t>
            </w:r>
          </w:p>
        </w:tc>
      </w:tr>
      <w:tr>
        <w:tblPrEx>
          <w:tblCellMar>
            <w:top w:w="0" w:type="dxa"/>
            <w:left w:w="108" w:type="dxa"/>
            <w:bottom w:w="0" w:type="dxa"/>
            <w:right w:w="108" w:type="dxa"/>
          </w:tblCellMar>
        </w:tblPrEx>
        <w:trPr>
          <w:trHeight w:val="312" w:hRule="atLeast"/>
        </w:trPr>
        <w:tc>
          <w:tcPr>
            <w:tcW w:w="13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1575"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服务对象满意度指标</w:t>
            </w: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为区域百姓提供丰富的精神文化生活</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提高人民群众文化修养和艺术欣赏水平</w:t>
            </w:r>
          </w:p>
        </w:tc>
      </w:tr>
      <w:tr>
        <w:tblPrEx>
          <w:tblCellMar>
            <w:top w:w="0" w:type="dxa"/>
            <w:left w:w="108" w:type="dxa"/>
            <w:bottom w:w="0" w:type="dxa"/>
            <w:right w:w="108" w:type="dxa"/>
          </w:tblCellMar>
        </w:tblPrEx>
        <w:trPr>
          <w:trHeight w:val="312" w:hRule="atLeast"/>
        </w:trPr>
        <w:tc>
          <w:tcPr>
            <w:tcW w:w="13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p>
        </w:tc>
        <w:tc>
          <w:tcPr>
            <w:tcW w:w="1575" w:type="dxa"/>
            <w:vMerge w:val="continue"/>
            <w:tcBorders>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发现和培养文艺人才</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为文艺家提供创作和展示才艺的平台</w:t>
            </w:r>
          </w:p>
        </w:tc>
      </w:tr>
      <w:tr>
        <w:tblPrEx>
          <w:tblCellMar>
            <w:top w:w="0" w:type="dxa"/>
            <w:left w:w="108" w:type="dxa"/>
            <w:bottom w:w="0" w:type="dxa"/>
            <w:right w:w="108" w:type="dxa"/>
          </w:tblCellMar>
        </w:tblPrEx>
        <w:trPr>
          <w:trHeight w:val="312" w:hRule="atLeast"/>
        </w:trPr>
        <w:tc>
          <w:tcPr>
            <w:tcW w:w="13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宋体" w:eastAsia="仿宋_GB2312" w:cs="宋体"/>
                <w:color w:val="000000"/>
                <w:kern w:val="0"/>
                <w:szCs w:val="21"/>
              </w:rPr>
            </w:pPr>
          </w:p>
        </w:tc>
        <w:tc>
          <w:tcPr>
            <w:tcW w:w="1575" w:type="dxa"/>
            <w:vMerge w:val="continue"/>
            <w:tcBorders>
              <w:bottom w:val="single" w:color="auto" w:sz="4" w:space="0"/>
              <w:right w:val="single" w:color="auto" w:sz="4" w:space="0"/>
            </w:tcBorders>
            <w:noWrap w:val="0"/>
            <w:vAlign w:val="center"/>
          </w:tcPr>
          <w:p>
            <w:pPr>
              <w:rPr>
                <w:rFonts w:hint="eastAsia" w:ascii="仿宋_GB2312" w:hAnsi="宋体" w:eastAsia="仿宋_GB2312" w:cs="宋体"/>
                <w:color w:val="000000"/>
                <w:szCs w:val="21"/>
              </w:rPr>
            </w:pPr>
          </w:p>
        </w:tc>
        <w:tc>
          <w:tcPr>
            <w:tcW w:w="2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参与度</w:t>
            </w:r>
          </w:p>
        </w:tc>
        <w:tc>
          <w:tcPr>
            <w:tcW w:w="3279"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Cs w:val="21"/>
              </w:rPr>
            </w:pPr>
            <w:r>
              <w:rPr>
                <w:rFonts w:hint="eastAsia" w:ascii="仿宋_GB2312" w:eastAsia="仿宋_GB2312"/>
                <w:color w:val="000000"/>
                <w:szCs w:val="21"/>
              </w:rPr>
              <w:t>百姓参与度高</w:t>
            </w:r>
          </w:p>
        </w:tc>
      </w:tr>
    </w:tbl>
    <w:p>
      <w:pPr>
        <w:ind w:firstLine="600" w:firstLineChars="200"/>
        <w:rPr>
          <w:rFonts w:hint="eastAsia" w:ascii="仿宋" w:hAnsi="仿宋" w:eastAsia="仿宋"/>
          <w:bCs/>
          <w:sz w:val="30"/>
          <w:szCs w:val="30"/>
        </w:rPr>
      </w:pPr>
    </w:p>
    <w:p>
      <w:pPr>
        <w:ind w:firstLine="600" w:firstLineChars="200"/>
        <w:rPr>
          <w:rFonts w:hint="eastAsia" w:ascii="仿宋" w:hAnsi="仿宋" w:eastAsia="仿宋"/>
          <w:bCs/>
          <w:sz w:val="30"/>
          <w:szCs w:val="30"/>
        </w:rPr>
      </w:pPr>
      <w:r>
        <w:rPr>
          <w:rFonts w:hint="eastAsia" w:ascii="仿宋" w:hAnsi="仿宋" w:eastAsia="仿宋"/>
          <w:bCs/>
          <w:sz w:val="30"/>
          <w:szCs w:val="30"/>
        </w:rPr>
        <w:t>（三）绩效评价工作过程。</w:t>
      </w:r>
    </w:p>
    <w:p>
      <w:pPr>
        <w:ind w:firstLine="600" w:firstLineChars="200"/>
        <w:rPr>
          <w:rFonts w:hint="eastAsia" w:ascii="仿宋" w:hAnsi="仿宋" w:eastAsia="仿宋"/>
          <w:bCs/>
          <w:sz w:val="30"/>
          <w:szCs w:val="30"/>
        </w:rPr>
      </w:pPr>
      <w:r>
        <w:rPr>
          <w:rFonts w:hint="eastAsia" w:ascii="仿宋" w:hAnsi="仿宋" w:eastAsia="仿宋"/>
          <w:sz w:val="30"/>
          <w:szCs w:val="30"/>
        </w:rPr>
        <w:t>对照项目绩效目标及项目预算明细，收集汇总开展项目过程性材料，全面梳理项目资金使用情况，客观评价总结项目实施的经验与不足，并提出针对性的改进建议，为项目管理和决策提供依据。</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三、综合评价情况及评价结论</w:t>
      </w:r>
    </w:p>
    <w:p>
      <w:pPr>
        <w:ind w:firstLine="600" w:firstLineChars="200"/>
        <w:rPr>
          <w:rFonts w:hint="eastAsia" w:ascii="仿宋" w:hAnsi="仿宋" w:eastAsia="仿宋"/>
          <w:bCs/>
          <w:sz w:val="30"/>
          <w:szCs w:val="30"/>
        </w:rPr>
      </w:pPr>
      <w:r>
        <w:rPr>
          <w:rFonts w:hint="eastAsia" w:ascii="仿宋" w:hAnsi="仿宋" w:eastAsia="仿宋"/>
          <w:sz w:val="30"/>
          <w:szCs w:val="30"/>
          <w:highlight w:val="none"/>
        </w:rPr>
        <w:t>项目支出绩效自评总分为9</w:t>
      </w:r>
      <w:r>
        <w:rPr>
          <w:rFonts w:hint="eastAsia" w:ascii="仿宋" w:hAnsi="仿宋" w:eastAsia="仿宋"/>
          <w:sz w:val="30"/>
          <w:szCs w:val="30"/>
          <w:highlight w:val="none"/>
          <w:lang w:val="en-US" w:eastAsia="zh-CN"/>
        </w:rPr>
        <w:t>9.90</w:t>
      </w:r>
      <w:r>
        <w:rPr>
          <w:rFonts w:hint="eastAsia" w:ascii="仿宋" w:hAnsi="仿宋" w:eastAsia="仿宋"/>
          <w:sz w:val="30"/>
          <w:szCs w:val="30"/>
          <w:highlight w:val="none"/>
        </w:rPr>
        <w:t>分</w:t>
      </w:r>
      <w:r>
        <w:rPr>
          <w:rFonts w:hint="eastAsia" w:ascii="仿宋" w:hAnsi="仿宋" w:eastAsia="仿宋"/>
          <w:sz w:val="30"/>
          <w:szCs w:val="30"/>
        </w:rPr>
        <w:t>，评价等级为优。</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四、绩效评价指标分析</w:t>
      </w:r>
    </w:p>
    <w:p>
      <w:pPr>
        <w:ind w:firstLine="600" w:firstLineChars="200"/>
        <w:rPr>
          <w:rFonts w:hint="eastAsia" w:ascii="仿宋" w:hAnsi="仿宋" w:eastAsia="仿宋"/>
          <w:bCs/>
          <w:sz w:val="30"/>
          <w:szCs w:val="30"/>
        </w:rPr>
      </w:pPr>
      <w:r>
        <w:rPr>
          <w:rFonts w:hint="eastAsia" w:ascii="仿宋" w:hAnsi="仿宋" w:eastAsia="仿宋"/>
          <w:bCs/>
          <w:sz w:val="30"/>
          <w:szCs w:val="30"/>
        </w:rPr>
        <w:t>（一）项目决策情况。</w:t>
      </w:r>
    </w:p>
    <w:p>
      <w:pPr>
        <w:ind w:firstLine="600" w:firstLineChars="200"/>
        <w:rPr>
          <w:rFonts w:hint="eastAsia" w:ascii="仿宋" w:hAnsi="仿宋" w:eastAsia="仿宋"/>
          <w:bCs/>
          <w:sz w:val="30"/>
          <w:szCs w:val="30"/>
          <w:lang w:eastAsia="zh-CN"/>
        </w:rPr>
      </w:pPr>
      <w:r>
        <w:rPr>
          <w:rFonts w:hint="eastAsia" w:ascii="仿宋" w:hAnsi="仿宋" w:eastAsia="仿宋"/>
          <w:bCs/>
          <w:sz w:val="30"/>
          <w:szCs w:val="30"/>
        </w:rPr>
        <w:t>项目立项情况。1.立项依据充分性：项目立项是符合法相关政策及部门职责。2.立项程序规范性：项目是按照规定的程序申请设立；审批文件、材料符合相关要求。</w:t>
      </w:r>
    </w:p>
    <w:p>
      <w:pPr>
        <w:ind w:firstLine="600" w:firstLineChars="200"/>
        <w:rPr>
          <w:rFonts w:hint="eastAsia" w:ascii="仿宋" w:hAnsi="仿宋" w:eastAsia="仿宋"/>
          <w:bCs/>
          <w:sz w:val="30"/>
          <w:szCs w:val="30"/>
        </w:rPr>
      </w:pPr>
      <w:r>
        <w:rPr>
          <w:rFonts w:hint="eastAsia" w:ascii="仿宋" w:hAnsi="仿宋" w:eastAsia="仿宋"/>
          <w:bCs/>
          <w:sz w:val="30"/>
          <w:szCs w:val="30"/>
        </w:rPr>
        <w:t>绩效目标设立情况。1.绩效目标合理性：项目所设定的绩效目标依据充分，符合客观实际。2.绩效指标明确性：将项目绩效目标细化分解为具体的绩效指标；通过清晰、可衡量的指标值予以体现；与项目目标任务数或计划数相对应。</w:t>
      </w:r>
    </w:p>
    <w:p>
      <w:pPr>
        <w:ind w:firstLine="600" w:firstLineChars="200"/>
        <w:rPr>
          <w:rFonts w:hint="eastAsia" w:ascii="仿宋" w:hAnsi="仿宋" w:eastAsia="仿宋"/>
          <w:bCs/>
          <w:sz w:val="30"/>
          <w:szCs w:val="30"/>
        </w:rPr>
      </w:pPr>
      <w:r>
        <w:rPr>
          <w:rFonts w:hint="eastAsia" w:ascii="仿宋" w:hAnsi="仿宋" w:eastAsia="仿宋"/>
          <w:bCs/>
          <w:sz w:val="30"/>
          <w:szCs w:val="30"/>
        </w:rPr>
        <w:t>资金投入情况。1.预算编制科学性：预算编制经过科学论证；预算内容与项目内容匹配；预算额度测算依据充分；预算确定的项目投资额或资金量与工作任务相匹配。2.资金分配合理性：项目预算资金分配有测算依据，与市场行情保持一致。</w:t>
      </w:r>
    </w:p>
    <w:p>
      <w:pPr>
        <w:ind w:firstLine="600" w:firstLineChars="200"/>
        <w:rPr>
          <w:rFonts w:hint="eastAsia" w:ascii="仿宋" w:hAnsi="仿宋" w:eastAsia="仿宋"/>
          <w:bCs/>
          <w:sz w:val="30"/>
          <w:szCs w:val="30"/>
        </w:rPr>
      </w:pPr>
      <w:r>
        <w:rPr>
          <w:rFonts w:hint="eastAsia" w:ascii="仿宋" w:hAnsi="仿宋" w:eastAsia="仿宋"/>
          <w:bCs/>
          <w:sz w:val="30"/>
          <w:szCs w:val="30"/>
        </w:rPr>
        <w:t>（二）项目过程情况。</w:t>
      </w:r>
    </w:p>
    <w:p>
      <w:pPr>
        <w:ind w:firstLine="600" w:firstLineChars="200"/>
        <w:rPr>
          <w:rFonts w:hint="eastAsia" w:ascii="仿宋" w:hAnsi="仿宋" w:eastAsia="仿宋"/>
          <w:bCs/>
          <w:sz w:val="30"/>
          <w:szCs w:val="30"/>
        </w:rPr>
      </w:pPr>
      <w:r>
        <w:rPr>
          <w:rFonts w:hint="eastAsia" w:ascii="仿宋" w:hAnsi="仿宋" w:eastAsia="仿宋"/>
          <w:bCs/>
          <w:sz w:val="30"/>
          <w:szCs w:val="30"/>
        </w:rPr>
        <w:t>资金的管理情况。资金使用合规性：项目资金的使用符合国家财经法规和财务管理制度以及有关专项资金管理办法的规定；资金的拨付有完整的审批程序和手续；符合项目预算用途；不存在截留、挤占、挪用、虚列支出等。</w:t>
      </w:r>
    </w:p>
    <w:p>
      <w:pPr>
        <w:ind w:firstLine="600" w:firstLineChars="200"/>
        <w:rPr>
          <w:rFonts w:hint="eastAsia" w:ascii="仿宋" w:hAnsi="仿宋" w:eastAsia="仿宋"/>
          <w:bCs/>
          <w:sz w:val="30"/>
          <w:szCs w:val="30"/>
        </w:rPr>
      </w:pPr>
      <w:r>
        <w:rPr>
          <w:rFonts w:hint="eastAsia" w:ascii="仿宋" w:hAnsi="仿宋" w:eastAsia="仿宋"/>
          <w:bCs/>
          <w:sz w:val="30"/>
          <w:szCs w:val="30"/>
        </w:rPr>
        <w:t>项目组织实施情况。项目实施符合相关管理规定；遵守相关法律法规和相关管理规定；项目调整及支出调整手续完备</w:t>
      </w:r>
      <w:r>
        <w:rPr>
          <w:rFonts w:hint="eastAsia" w:ascii="仿宋" w:hAnsi="仿宋" w:eastAsia="仿宋"/>
          <w:sz w:val="30"/>
          <w:szCs w:val="30"/>
        </w:rPr>
        <w:t>。</w:t>
      </w:r>
    </w:p>
    <w:p>
      <w:pPr>
        <w:ind w:firstLine="600" w:firstLineChars="200"/>
        <w:rPr>
          <w:rFonts w:hint="eastAsia" w:ascii="仿宋" w:hAnsi="仿宋" w:eastAsia="仿宋"/>
          <w:bCs/>
          <w:sz w:val="30"/>
          <w:szCs w:val="30"/>
        </w:rPr>
      </w:pPr>
      <w:r>
        <w:rPr>
          <w:rFonts w:hint="eastAsia" w:ascii="仿宋" w:hAnsi="仿宋" w:eastAsia="仿宋"/>
          <w:bCs/>
          <w:sz w:val="30"/>
          <w:szCs w:val="30"/>
        </w:rPr>
        <w:t>（三）项目产出情况。</w:t>
      </w:r>
    </w:p>
    <w:p>
      <w:pPr>
        <w:ind w:firstLine="600" w:firstLineChars="200"/>
        <w:rPr>
          <w:rFonts w:hint="eastAsia" w:ascii="仿宋" w:hAnsi="仿宋" w:eastAsia="仿宋"/>
          <w:bCs/>
          <w:sz w:val="30"/>
          <w:szCs w:val="30"/>
        </w:rPr>
      </w:pPr>
      <w:r>
        <w:rPr>
          <w:rFonts w:hint="eastAsia" w:ascii="仿宋" w:hAnsi="仿宋" w:eastAsia="仿宋"/>
          <w:bCs/>
          <w:sz w:val="30"/>
          <w:szCs w:val="30"/>
        </w:rPr>
        <w:t>产出数量：项目产出数量指标完成情况与绩效目标一致，均按照工作计划实施。</w:t>
      </w:r>
    </w:p>
    <w:p>
      <w:pPr>
        <w:ind w:firstLine="600" w:firstLineChars="200"/>
        <w:rPr>
          <w:rFonts w:hint="eastAsia" w:ascii="仿宋" w:hAnsi="仿宋" w:eastAsia="仿宋"/>
          <w:bCs/>
          <w:sz w:val="30"/>
          <w:szCs w:val="30"/>
        </w:rPr>
      </w:pPr>
      <w:r>
        <w:rPr>
          <w:rFonts w:hint="eastAsia" w:ascii="仿宋" w:hAnsi="仿宋" w:eastAsia="仿宋"/>
          <w:bCs/>
          <w:sz w:val="30"/>
          <w:szCs w:val="30"/>
        </w:rPr>
        <w:t>产出质量：项目产出质量达到预期目标。</w:t>
      </w:r>
    </w:p>
    <w:p>
      <w:pPr>
        <w:ind w:firstLine="600" w:firstLineChars="200"/>
        <w:rPr>
          <w:rFonts w:hint="eastAsia" w:ascii="仿宋" w:hAnsi="仿宋" w:eastAsia="仿宋"/>
          <w:bCs/>
          <w:sz w:val="30"/>
          <w:szCs w:val="30"/>
        </w:rPr>
      </w:pPr>
      <w:r>
        <w:rPr>
          <w:rFonts w:hint="eastAsia" w:ascii="仿宋" w:hAnsi="仿宋" w:eastAsia="仿宋"/>
          <w:bCs/>
          <w:sz w:val="30"/>
          <w:szCs w:val="30"/>
        </w:rPr>
        <w:t>产出时效：项目按预算时效按时完成。</w:t>
      </w:r>
    </w:p>
    <w:p>
      <w:pPr>
        <w:ind w:firstLine="600" w:firstLineChars="200"/>
        <w:rPr>
          <w:rFonts w:hint="eastAsia" w:ascii="仿宋" w:hAnsi="仿宋" w:eastAsia="仿宋"/>
          <w:bCs/>
          <w:sz w:val="30"/>
          <w:szCs w:val="30"/>
        </w:rPr>
      </w:pPr>
      <w:r>
        <w:rPr>
          <w:rFonts w:hint="eastAsia" w:ascii="仿宋" w:hAnsi="仿宋" w:eastAsia="仿宋"/>
          <w:bCs/>
          <w:sz w:val="30"/>
          <w:szCs w:val="30"/>
        </w:rPr>
        <w:t>产出成本：项目产出成本指标100%完成。</w:t>
      </w:r>
    </w:p>
    <w:p>
      <w:pPr>
        <w:ind w:firstLine="600" w:firstLineChars="200"/>
        <w:rPr>
          <w:rFonts w:hint="eastAsia" w:ascii="仿宋" w:hAnsi="仿宋" w:eastAsia="仿宋"/>
          <w:bCs/>
          <w:sz w:val="30"/>
          <w:szCs w:val="30"/>
        </w:rPr>
      </w:pPr>
      <w:r>
        <w:rPr>
          <w:rFonts w:hint="eastAsia" w:ascii="仿宋" w:hAnsi="仿宋" w:eastAsia="仿宋"/>
          <w:bCs/>
          <w:sz w:val="30"/>
          <w:szCs w:val="30"/>
        </w:rPr>
        <w:t>（四）项目效益情况。</w:t>
      </w:r>
    </w:p>
    <w:p>
      <w:pPr>
        <w:ind w:firstLine="600" w:firstLineChars="200"/>
        <w:rPr>
          <w:rFonts w:hint="eastAsia" w:ascii="仿宋" w:hAnsi="仿宋" w:eastAsia="仿宋"/>
          <w:bCs/>
          <w:sz w:val="30"/>
          <w:szCs w:val="30"/>
        </w:rPr>
      </w:pPr>
      <w:r>
        <w:rPr>
          <w:rFonts w:hint="eastAsia" w:ascii="仿宋" w:hAnsi="仿宋" w:eastAsia="仿宋"/>
          <w:bCs/>
          <w:sz w:val="30"/>
          <w:szCs w:val="30"/>
        </w:rPr>
        <w:t>项目实施后的产生的社会效益：弘扬中华优秀传统文化，讲好中国故事，进一步深入挖掘和展示京剧</w:t>
      </w:r>
      <w:r>
        <w:rPr>
          <w:rFonts w:hint="eastAsia" w:ascii="仿宋" w:hAnsi="仿宋" w:eastAsia="仿宋"/>
          <w:bCs/>
          <w:sz w:val="30"/>
          <w:szCs w:val="30"/>
          <w:lang w:eastAsia="zh-CN"/>
        </w:rPr>
        <w:t>、曲艺及大运河</w:t>
      </w:r>
      <w:r>
        <w:rPr>
          <w:rFonts w:hint="eastAsia" w:ascii="仿宋" w:hAnsi="仿宋" w:eastAsia="仿宋"/>
          <w:bCs/>
          <w:sz w:val="30"/>
          <w:szCs w:val="30"/>
        </w:rPr>
        <w:t>的历史文化内涵。创作书法精品佳作讴歌中国共产党团结带领全国各族人民取得的伟大成就，为促进京津冀一体化作出贡献，取得了重要文化成果。</w:t>
      </w:r>
      <w:r>
        <w:rPr>
          <w:rFonts w:hint="eastAsia" w:ascii="仿宋" w:hAnsi="仿宋" w:eastAsia="仿宋"/>
          <w:bCs/>
          <w:sz w:val="30"/>
          <w:szCs w:val="30"/>
          <w:lang w:eastAsia="zh-CN"/>
        </w:rPr>
        <w:t>弘扬中华优秀传统文化，</w:t>
      </w:r>
      <w:r>
        <w:rPr>
          <w:rFonts w:hint="eastAsia" w:ascii="仿宋" w:hAnsi="仿宋" w:eastAsia="仿宋"/>
          <w:bCs/>
          <w:sz w:val="30"/>
          <w:szCs w:val="30"/>
        </w:rPr>
        <w:t>为一线职工送去节日关怀和新春祝福</w:t>
      </w:r>
      <w:r>
        <w:rPr>
          <w:rFonts w:hint="eastAsia" w:ascii="仿宋" w:hAnsi="仿宋" w:eastAsia="仿宋"/>
          <w:bCs/>
          <w:sz w:val="30"/>
          <w:szCs w:val="30"/>
          <w:lang w:eastAsia="zh-CN"/>
        </w:rPr>
        <w:t>，</w:t>
      </w:r>
      <w:r>
        <w:rPr>
          <w:rFonts w:hint="eastAsia" w:ascii="仿宋" w:hAnsi="仿宋" w:eastAsia="仿宋"/>
          <w:bCs/>
          <w:sz w:val="30"/>
          <w:szCs w:val="30"/>
        </w:rPr>
        <w:t>丰富西城人民的精神文化生活，让优秀非遗文化焕发生机、彰显活力。</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五、主要经验及做法、存在的问题及原因分析</w:t>
      </w:r>
    </w:p>
    <w:p>
      <w:pPr>
        <w:ind w:firstLine="600" w:firstLineChars="200"/>
        <w:rPr>
          <w:rFonts w:hint="eastAsia" w:ascii="仿宋" w:hAnsi="仿宋" w:eastAsia="仿宋"/>
          <w:bCs/>
          <w:sz w:val="30"/>
          <w:szCs w:val="30"/>
        </w:rPr>
      </w:pPr>
      <w:r>
        <w:rPr>
          <w:rFonts w:hint="eastAsia" w:ascii="仿宋" w:hAnsi="仿宋" w:eastAsia="仿宋"/>
          <w:bCs/>
          <w:sz w:val="30"/>
          <w:szCs w:val="30"/>
        </w:rPr>
        <w:t>（一）主要经验及做法</w:t>
      </w:r>
    </w:p>
    <w:p>
      <w:pPr>
        <w:ind w:firstLine="600" w:firstLineChars="200"/>
        <w:rPr>
          <w:rFonts w:hint="eastAsia" w:ascii="仿宋" w:hAnsi="仿宋" w:eastAsia="仿宋"/>
          <w:bCs/>
          <w:sz w:val="30"/>
          <w:szCs w:val="30"/>
        </w:rPr>
      </w:pPr>
      <w:r>
        <w:rPr>
          <w:rFonts w:hint="eastAsia" w:ascii="仿宋" w:hAnsi="仿宋" w:eastAsia="仿宋"/>
          <w:bCs/>
          <w:sz w:val="30"/>
          <w:szCs w:val="30"/>
        </w:rPr>
        <w:t>一是加强政治建设，通过开展集中学习、座谈研讨、培训交流等形式，不断提高文艺工作者的政治素质和理论水平；同时，广泛宣传社会主义优秀文化和先进文艺理论，引导所属协会艺术家牢记使命，坚守艺术底线，不断提高创作水平。二是加强作风建设，倡导实干精神，加强对所属协会的纪律约束和监督，打造风清气正的文艺工作环境。三是加强对所属文艺家协会工作的管理指导，以三届</w:t>
      </w:r>
      <w:r>
        <w:rPr>
          <w:rFonts w:hint="eastAsia" w:ascii="仿宋" w:hAnsi="仿宋" w:eastAsia="仿宋"/>
          <w:bCs/>
          <w:sz w:val="30"/>
          <w:szCs w:val="30"/>
          <w:lang w:eastAsia="zh-CN"/>
        </w:rPr>
        <w:t>三</w:t>
      </w:r>
      <w:r>
        <w:rPr>
          <w:rFonts w:hint="eastAsia" w:ascii="仿宋" w:hAnsi="仿宋" w:eastAsia="仿宋"/>
          <w:bCs/>
          <w:sz w:val="30"/>
          <w:szCs w:val="30"/>
        </w:rPr>
        <w:t>次理事会、秘书长联席会召开为契机，做好各项工作要求的向下传导；在协会开展活动过程中，做好风险排查和预警提示。四是推动走访调研和谈心谈话工作走深走实。领导班子带头深入各协会，以走访调研座谈的形式，广泛听取各基层文艺家协会的意见建议。</w:t>
      </w:r>
    </w:p>
    <w:p>
      <w:pPr>
        <w:ind w:firstLine="600" w:firstLineChars="200"/>
        <w:rPr>
          <w:rFonts w:hint="eastAsia" w:ascii="仿宋" w:hAnsi="仿宋" w:eastAsia="仿宋"/>
          <w:bCs/>
          <w:sz w:val="30"/>
          <w:szCs w:val="30"/>
        </w:rPr>
      </w:pPr>
      <w:r>
        <w:rPr>
          <w:rFonts w:hint="eastAsia" w:ascii="仿宋" w:hAnsi="仿宋" w:eastAsia="仿宋"/>
          <w:bCs/>
          <w:sz w:val="30"/>
          <w:szCs w:val="30"/>
        </w:rPr>
        <w:t>（二）存在的问题及原因分析</w:t>
      </w:r>
    </w:p>
    <w:p>
      <w:pPr>
        <w:ind w:firstLine="600" w:firstLineChars="200"/>
        <w:rPr>
          <w:rFonts w:hint="eastAsia" w:ascii="仿宋" w:hAnsi="仿宋" w:eastAsia="仿宋"/>
          <w:bCs/>
          <w:sz w:val="30"/>
          <w:szCs w:val="30"/>
        </w:rPr>
      </w:pPr>
      <w:r>
        <w:rPr>
          <w:rFonts w:hint="eastAsia" w:ascii="仿宋" w:hAnsi="仿宋" w:eastAsia="仿宋"/>
          <w:bCs/>
          <w:sz w:val="30"/>
          <w:szCs w:val="30"/>
        </w:rPr>
        <w:t>由于预算项目占比较大的展览展出需要一定时间的征稿、评审工作，经费基本上都安排到下半年支出，导致一季度支出进度较为缓慢。</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六、有关建议</w:t>
      </w:r>
    </w:p>
    <w:p>
      <w:pPr>
        <w:ind w:firstLine="600" w:firstLineChars="200"/>
        <w:rPr>
          <w:rFonts w:hint="eastAsia" w:ascii="仿宋" w:hAnsi="仿宋" w:eastAsia="仿宋"/>
          <w:bCs/>
          <w:sz w:val="30"/>
          <w:szCs w:val="30"/>
        </w:rPr>
      </w:pPr>
      <w:r>
        <w:rPr>
          <w:rFonts w:hint="eastAsia" w:ascii="仿宋" w:hAnsi="仿宋" w:eastAsia="仿宋"/>
          <w:bCs/>
          <w:sz w:val="30"/>
          <w:szCs w:val="30"/>
        </w:rPr>
        <w:t>加大项目前期谋划、项目储备、项目支出执行等督导力度，帮助协会查找执行中存在的问题，并就资金支付过程中遇到的问题进行沟通交流，针对性地提出切实有效的推进措施和建议，积极推动区文联加快财政预算支出进度，确保财政资金的时效性。</w:t>
      </w:r>
    </w:p>
    <w:p>
      <w:pPr>
        <w:ind w:firstLine="600" w:firstLineChars="200"/>
        <w:rPr>
          <w:rFonts w:hint="eastAsia" w:ascii="黑体" w:hAnsi="黑体" w:eastAsia="黑体" w:cs="黑体"/>
          <w:bCs/>
          <w:sz w:val="30"/>
          <w:szCs w:val="30"/>
        </w:rPr>
      </w:pPr>
      <w:r>
        <w:rPr>
          <w:rFonts w:hint="eastAsia" w:ascii="黑体" w:hAnsi="黑体" w:eastAsia="黑体" w:cs="黑体"/>
          <w:bCs/>
          <w:sz w:val="30"/>
          <w:szCs w:val="30"/>
        </w:rPr>
        <w:t>七、其他需要说明的问题</w:t>
      </w:r>
    </w:p>
    <w:p>
      <w:pPr>
        <w:ind w:firstLine="600" w:firstLineChars="200"/>
        <w:rPr>
          <w:rFonts w:hint="eastAsia" w:ascii="仿宋" w:hAnsi="仿宋" w:eastAsia="仿宋"/>
          <w:bCs/>
          <w:sz w:val="30"/>
          <w:szCs w:val="30"/>
        </w:rPr>
      </w:pPr>
      <w:r>
        <w:rPr>
          <w:rFonts w:hint="eastAsia" w:ascii="仿宋" w:hAnsi="仿宋" w:eastAsia="仿宋"/>
          <w:bCs/>
          <w:sz w:val="30"/>
          <w:szCs w:val="30"/>
        </w:rPr>
        <w:t>无</w:t>
      </w:r>
    </w:p>
    <w:p>
      <w:pPr>
        <w:ind w:firstLine="600" w:firstLineChars="200"/>
        <w:rPr>
          <w:rFonts w:hint="eastAsia" w:ascii="仿宋" w:hAnsi="仿宋" w:eastAsia="仿宋"/>
          <w:sz w:val="30"/>
          <w:szCs w:val="30"/>
        </w:rPr>
      </w:pPr>
    </w:p>
    <w:p>
      <w:pPr>
        <w:ind w:firstLine="600" w:firstLineChars="200"/>
        <w:rPr>
          <w:rFonts w:hint="eastAsia" w:ascii="仿宋" w:hAnsi="仿宋" w:eastAsia="仿宋"/>
          <w:sz w:val="30"/>
          <w:szCs w:val="30"/>
        </w:rPr>
      </w:pPr>
    </w:p>
    <w:p>
      <w:pPr>
        <w:ind w:firstLine="600" w:firstLineChars="200"/>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9D"/>
    <w:rsid w:val="000B4C7A"/>
    <w:rsid w:val="001251D9"/>
    <w:rsid w:val="0014389D"/>
    <w:rsid w:val="00145BDA"/>
    <w:rsid w:val="002156FF"/>
    <w:rsid w:val="003C3D3F"/>
    <w:rsid w:val="004A1284"/>
    <w:rsid w:val="004F4D00"/>
    <w:rsid w:val="005975E1"/>
    <w:rsid w:val="005D3606"/>
    <w:rsid w:val="005F4145"/>
    <w:rsid w:val="0069315B"/>
    <w:rsid w:val="00870E4D"/>
    <w:rsid w:val="008D1585"/>
    <w:rsid w:val="00945DCA"/>
    <w:rsid w:val="0095003C"/>
    <w:rsid w:val="00A5566D"/>
    <w:rsid w:val="00AA7763"/>
    <w:rsid w:val="00AB39D3"/>
    <w:rsid w:val="00AE283E"/>
    <w:rsid w:val="00F3589C"/>
    <w:rsid w:val="00F664AF"/>
    <w:rsid w:val="00F74693"/>
    <w:rsid w:val="00FD74E5"/>
    <w:rsid w:val="078636E7"/>
    <w:rsid w:val="0CFE7F60"/>
    <w:rsid w:val="0D5F447D"/>
    <w:rsid w:val="13E13A2C"/>
    <w:rsid w:val="15EC122F"/>
    <w:rsid w:val="198B74A6"/>
    <w:rsid w:val="1BBA200E"/>
    <w:rsid w:val="1D7A7FEF"/>
    <w:rsid w:val="20EF7097"/>
    <w:rsid w:val="21B7209A"/>
    <w:rsid w:val="23A92C07"/>
    <w:rsid w:val="257E1885"/>
    <w:rsid w:val="267E3536"/>
    <w:rsid w:val="2DCA0F63"/>
    <w:rsid w:val="2EFE7D27"/>
    <w:rsid w:val="2F800402"/>
    <w:rsid w:val="393C0FF6"/>
    <w:rsid w:val="3CC021F6"/>
    <w:rsid w:val="3EB47A6E"/>
    <w:rsid w:val="409B78E6"/>
    <w:rsid w:val="418D1865"/>
    <w:rsid w:val="42D40833"/>
    <w:rsid w:val="467E0128"/>
    <w:rsid w:val="57FD7686"/>
    <w:rsid w:val="5CB65CF8"/>
    <w:rsid w:val="5D2B30FB"/>
    <w:rsid w:val="5DA73435"/>
    <w:rsid w:val="60441AFF"/>
    <w:rsid w:val="62D430B2"/>
    <w:rsid w:val="6364711E"/>
    <w:rsid w:val="64942D0F"/>
    <w:rsid w:val="65A044CA"/>
    <w:rsid w:val="66D435C2"/>
    <w:rsid w:val="67786AC2"/>
    <w:rsid w:val="6A4609EB"/>
    <w:rsid w:val="6D770ABE"/>
    <w:rsid w:val="6E6827E0"/>
    <w:rsid w:val="710E5E8B"/>
    <w:rsid w:val="71EC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3"/>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6"/>
    <w:semiHidden/>
    <w:qFormat/>
    <w:uiPriority w:val="9"/>
    <w:rPr>
      <w:rFonts w:cstheme="majorBidi"/>
      <w:color w:val="104862" w:themeColor="accent1" w:themeShade="BF"/>
      <w:sz w:val="28"/>
      <w:szCs w:val="28"/>
    </w:rPr>
  </w:style>
  <w:style w:type="character" w:customStyle="1" w:styleId="20">
    <w:name w:val="标题 5 字符"/>
    <w:basedOn w:val="15"/>
    <w:link w:val="7"/>
    <w:semiHidden/>
    <w:qFormat/>
    <w:uiPriority w:val="9"/>
    <w:rPr>
      <w:rFonts w:cstheme="majorBidi"/>
      <w:color w:val="104862" w:themeColor="accent1" w:themeShade="BF"/>
      <w:sz w:val="24"/>
      <w:szCs w:val="24"/>
    </w:rPr>
  </w:style>
  <w:style w:type="character" w:customStyle="1" w:styleId="21">
    <w:name w:val="标题 6 字符"/>
    <w:basedOn w:val="15"/>
    <w:link w:val="8"/>
    <w:semiHidden/>
    <w:uiPriority w:val="9"/>
    <w:rPr>
      <w:rFonts w:cstheme="majorBidi"/>
      <w:b/>
      <w:bCs/>
      <w:color w:val="104862" w:themeColor="accent1" w:themeShade="BF"/>
    </w:rPr>
  </w:style>
  <w:style w:type="character" w:customStyle="1" w:styleId="22">
    <w:name w:val="标题 7 字符"/>
    <w:basedOn w:val="15"/>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7096-2F7F-44A6-B4AE-5D8059FEB047}">
  <ds:schemaRefs/>
</ds:datastoreItem>
</file>

<file path=docProps/app.xml><?xml version="1.0" encoding="utf-8"?>
<Properties xmlns="http://schemas.openxmlformats.org/officeDocument/2006/extended-properties" xmlns:vt="http://schemas.openxmlformats.org/officeDocument/2006/docPropsVTypes">
  <Template>Normal</Template>
  <Pages>6</Pages>
  <Words>369</Words>
  <Characters>2107</Characters>
  <Lines>17</Lines>
  <Paragraphs>4</Paragraphs>
  <TotalTime>10</TotalTime>
  <ScaleCrop>false</ScaleCrop>
  <LinksUpToDate>false</LinksUpToDate>
  <CharactersWithSpaces>2472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2025-07-24T15:10:00Z</dcterms:created>
  <dc:creator>妍 贺</dc:creator>
  <cp:lastModifiedBy>贺贺</cp:lastModifiedBy>
  <dcterms:modified xsi:type="dcterms:W3CDTF">2025-08-27T09:30:37Z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E56775CC880B4583A6F659551A973586</vt:lpwstr>
  </property>
</Properties>
</file>