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785"/>
        <w:gridCol w:w="655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30.2pt;margin-top:18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综合行政执法队专职驾驶员劳务费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综合行政执法队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 w:firstLineChars="0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32.64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32.64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32.64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32.64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32.64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32.64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聘用专职驾驶员驾驶执法车在辖区巡查，提升辖区环境秩序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聘用专职驾驶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员驾驶执法车在辖区巡查，提升辖区环境秩序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指标1：驾驶员人数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4人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4人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指标1：巡查次数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3次/天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3次/天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指标1： 1月支付首付款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163200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163200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指标2：6月支付中期款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97920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87920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指标3：11月支付尾款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65280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65280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指标1：预算控制数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326400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326400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指标1：控制成本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符合成本效益原则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符合成本效益原则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指标1：环境秩序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环境秩序提升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环境秩序提升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指标1：辖区生活环境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维护生活环境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基本维护生活环境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bookmarkStart w:id="0" w:name="OLE_LINK1"/>
            <w:r>
              <w:rPr>
                <w:rFonts w:hint="eastAsia"/>
              </w:rPr>
              <w:t>摆摊设点偶尔出现反弹，加大巡查和处罚力度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指标1：辖区环境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明显改善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明显改善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指标1：执法队认可度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&gt;90%</w:t>
            </w:r>
          </w:p>
        </w:tc>
        <w:tc>
          <w:tcPr>
            <w:tcW w:w="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&gt;90%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指标2：群众满意度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&gt;90%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&gt;90%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6472D4E"/>
    <w:rsid w:val="08CE5D49"/>
    <w:rsid w:val="0FB23422"/>
    <w:rsid w:val="28E84ED5"/>
    <w:rsid w:val="2ADA7E83"/>
    <w:rsid w:val="35B54BBF"/>
    <w:rsid w:val="380E26C0"/>
    <w:rsid w:val="3BDA5BC7"/>
    <w:rsid w:val="68B6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703</Characters>
  <Lines>0</Lines>
  <Paragraphs>0</Paragraphs>
  <TotalTime>1</TotalTime>
  <ScaleCrop>false</ScaleCrop>
  <LinksUpToDate>false</LinksUpToDate>
  <CharactersWithSpaces>712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2025-08-22T07:11:21Z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F319464C811647519A40AD9BC4C34845</vt:lpwstr>
  </property>
</Properties>
</file>