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600" w:type="dxa"/>
        <w:jc w:val="center"/>
        <w:tblLayout w:type="fixed"/>
        <w:tblCellMar>
          <w:top w:w="0" w:type="dxa"/>
          <w:left w:w="108" w:type="dxa"/>
          <w:bottom w:w="0" w:type="dxa"/>
          <w:right w:w="108" w:type="dxa"/>
        </w:tblCellMar>
      </w:tblPr>
      <w:tblGrid>
        <w:gridCol w:w="711"/>
        <w:gridCol w:w="963"/>
        <w:gridCol w:w="1092"/>
        <w:gridCol w:w="718"/>
        <w:gridCol w:w="1114"/>
        <w:gridCol w:w="279"/>
        <w:gridCol w:w="996"/>
        <w:gridCol w:w="680"/>
        <w:gridCol w:w="760"/>
        <w:gridCol w:w="705"/>
        <w:gridCol w:w="915"/>
        <w:gridCol w:w="667"/>
      </w:tblGrid>
      <w:tr>
        <w:tblPrEx>
          <w:tblCellMar>
            <w:top w:w="0" w:type="dxa"/>
            <w:left w:w="108" w:type="dxa"/>
            <w:bottom w:w="0" w:type="dxa"/>
            <w:right w:w="108" w:type="dxa"/>
          </w:tblCellMar>
        </w:tblPrEx>
        <w:trPr>
          <w:trHeight w:val="440" w:hRule="exact"/>
          <w:jc w:val="center"/>
        </w:trPr>
        <w:tc>
          <w:tcPr>
            <w:tcW w:w="9600" w:type="dxa"/>
            <w:gridSpan w:val="12"/>
            <w:tcBorders>
              <w:top w:val="nil"/>
              <w:left w:val="nil"/>
              <w:bottom w:val="nil"/>
              <w:right w:val="nil"/>
            </w:tcBorders>
            <w:vAlign w:val="center"/>
          </w:tcPr>
          <w:p>
            <w:pPr>
              <w:jc w:val="center"/>
            </w:pPr>
            <w:r>
              <w:rPr>
                <w:sz w:val="21"/>
              </w:rPr>
              <w:pict>
                <v:shape id="_x0000_s1026" o:spid="_x0000_s1026" o:spt="201" type="#_x0000_t201" style="position:absolute;left:0pt;margin-left:12.95pt;margin-top:6.7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rPr>
              <w:t>项目支出绩效自评表</w:t>
            </w:r>
          </w:p>
        </w:tc>
      </w:tr>
      <w:tr>
        <w:tblPrEx>
          <w:tblCellMar>
            <w:top w:w="0" w:type="dxa"/>
            <w:left w:w="108" w:type="dxa"/>
            <w:bottom w:w="0" w:type="dxa"/>
            <w:right w:w="108" w:type="dxa"/>
          </w:tblCellMar>
        </w:tblPrEx>
        <w:trPr>
          <w:trHeight w:val="194" w:hRule="atLeast"/>
          <w:jc w:val="center"/>
        </w:trPr>
        <w:tc>
          <w:tcPr>
            <w:tcW w:w="9600" w:type="dxa"/>
            <w:gridSpan w:val="12"/>
            <w:tcBorders>
              <w:top w:val="nil"/>
              <w:left w:val="nil"/>
              <w:bottom w:val="nil"/>
              <w:right w:val="nil"/>
            </w:tcBorders>
          </w:tcPr>
          <w:p>
            <w:pPr>
              <w:jc w:val="center"/>
            </w:pPr>
            <w:r>
              <w:rPr>
                <w:rFonts w:hint="eastAsia"/>
              </w:rPr>
              <w:t>（</w:t>
            </w:r>
            <w:r>
              <w:rPr>
                <w:rFonts w:hint="eastAsia"/>
                <w:lang w:val="en-US" w:eastAsia="zh-CN"/>
              </w:rPr>
              <w:t>2024</w:t>
            </w:r>
            <w:r>
              <w:rPr>
                <w:rFonts w:hint="eastAsia"/>
              </w:rPr>
              <w:t>年度）</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926" w:type="dxa"/>
            <w:gridSpan w:val="10"/>
            <w:tcBorders>
              <w:top w:val="single" w:color="auto" w:sz="4" w:space="0"/>
              <w:left w:val="nil"/>
              <w:bottom w:val="single" w:color="auto" w:sz="4" w:space="0"/>
              <w:right w:val="single" w:color="auto" w:sz="4" w:space="0"/>
            </w:tcBorders>
            <w:vAlign w:val="center"/>
          </w:tcPr>
          <w:p>
            <w:r>
              <w:rPr>
                <w:rFonts w:hint="eastAsia"/>
              </w:rPr>
              <w:t>未成年人保护工作经费</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199" w:type="dxa"/>
            <w:gridSpan w:val="5"/>
            <w:tcBorders>
              <w:top w:val="single" w:color="auto" w:sz="4" w:space="0"/>
              <w:left w:val="nil"/>
              <w:bottom w:val="single" w:color="auto" w:sz="4" w:space="0"/>
              <w:right w:val="single" w:color="auto" w:sz="4" w:space="0"/>
            </w:tcBorders>
            <w:vAlign w:val="center"/>
          </w:tcPr>
          <w:p>
            <w:r>
              <w:rPr>
                <w:rFonts w:hint="eastAsia"/>
                <w:lang w:val="en-US" w:eastAsia="zh-CN"/>
              </w:rPr>
              <w:t>民生保障办公室</w:t>
            </w:r>
          </w:p>
        </w:tc>
        <w:tc>
          <w:tcPr>
            <w:tcW w:w="1440" w:type="dxa"/>
            <w:gridSpan w:val="2"/>
            <w:tcBorders>
              <w:top w:val="nil"/>
              <w:left w:val="nil"/>
              <w:bottom w:val="single" w:color="auto" w:sz="4" w:space="0"/>
              <w:right w:val="single" w:color="auto" w:sz="4" w:space="0"/>
            </w:tcBorders>
            <w:vAlign w:val="center"/>
          </w:tcPr>
          <w:p>
            <w:r>
              <w:rPr>
                <w:rFonts w:hint="eastAsia"/>
              </w:rPr>
              <w:t>实施单位</w:t>
            </w:r>
          </w:p>
        </w:tc>
        <w:tc>
          <w:tcPr>
            <w:tcW w:w="2287" w:type="dxa"/>
            <w:gridSpan w:val="3"/>
            <w:tcBorders>
              <w:top w:val="single" w:color="auto" w:sz="4" w:space="0"/>
              <w:left w:val="nil"/>
              <w:bottom w:val="single" w:color="auto" w:sz="4" w:space="0"/>
              <w:right w:val="single" w:color="auto" w:sz="4" w:space="0"/>
            </w:tcBorders>
            <w:vAlign w:val="center"/>
          </w:tcPr>
          <w:p>
            <w:r>
              <w:rPr>
                <w:rFonts w:hint="eastAsia" w:ascii="宋体" w:hAnsi="宋体" w:eastAsia="宋体" w:cs="宋体"/>
                <w:color w:val="auto"/>
                <w:kern w:val="0"/>
                <w:sz w:val="18"/>
                <w:szCs w:val="18"/>
                <w:lang w:val="en-US" w:eastAsia="zh-CN"/>
              </w:rPr>
              <w:t>民生保障办公室</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199" w:type="dxa"/>
            <w:gridSpan w:val="5"/>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p>
        </w:tc>
        <w:tc>
          <w:tcPr>
            <w:tcW w:w="1440" w:type="dxa"/>
            <w:gridSpan w:val="2"/>
            <w:tcBorders>
              <w:top w:val="nil"/>
              <w:left w:val="nil"/>
              <w:bottom w:val="single" w:color="auto" w:sz="4" w:space="0"/>
              <w:right w:val="single" w:color="auto" w:sz="4" w:space="0"/>
            </w:tcBorders>
            <w:vAlign w:val="center"/>
          </w:tcPr>
          <w:p>
            <w:r>
              <w:t>联系电话</w:t>
            </w:r>
          </w:p>
        </w:tc>
        <w:tc>
          <w:tcPr>
            <w:tcW w:w="2287" w:type="dxa"/>
            <w:gridSpan w:val="3"/>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p>
        </w:tc>
      </w:tr>
      <w:tr>
        <w:tblPrEx>
          <w:tblCellMar>
            <w:top w:w="0" w:type="dxa"/>
            <w:left w:w="108" w:type="dxa"/>
            <w:bottom w:w="0" w:type="dxa"/>
            <w:right w:w="108" w:type="dxa"/>
          </w:tblCellMar>
        </w:tblPrEx>
        <w:trPr>
          <w:trHeight w:val="291" w:hRule="exact"/>
          <w:jc w:val="center"/>
        </w:trPr>
        <w:tc>
          <w:tcPr>
            <w:tcW w:w="1674"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810" w:type="dxa"/>
            <w:gridSpan w:val="2"/>
            <w:tcBorders>
              <w:top w:val="single" w:color="auto" w:sz="4" w:space="0"/>
              <w:left w:val="nil"/>
              <w:bottom w:val="single" w:color="auto" w:sz="4" w:space="0"/>
              <w:right w:val="single" w:color="auto" w:sz="4" w:space="0"/>
            </w:tcBorders>
            <w:vAlign w:val="center"/>
          </w:tcPr>
          <w:p/>
        </w:tc>
        <w:tc>
          <w:tcPr>
            <w:tcW w:w="1114" w:type="dxa"/>
            <w:tcBorders>
              <w:top w:val="nil"/>
              <w:left w:val="nil"/>
              <w:bottom w:val="single" w:color="auto" w:sz="4" w:space="0"/>
              <w:right w:val="single" w:color="auto" w:sz="4" w:space="0"/>
            </w:tcBorders>
            <w:vAlign w:val="center"/>
          </w:tcPr>
          <w:p>
            <w:r>
              <w:rPr>
                <w:rFonts w:hint="eastAsia"/>
              </w:rPr>
              <w:t>年初预算数</w:t>
            </w:r>
          </w:p>
        </w:tc>
        <w:tc>
          <w:tcPr>
            <w:tcW w:w="1275" w:type="dxa"/>
            <w:gridSpan w:val="2"/>
            <w:tcBorders>
              <w:top w:val="nil"/>
              <w:left w:val="nil"/>
              <w:bottom w:val="single" w:color="auto" w:sz="4" w:space="0"/>
              <w:right w:val="single" w:color="auto" w:sz="4" w:space="0"/>
            </w:tcBorders>
            <w:vAlign w:val="center"/>
          </w:tcPr>
          <w:p>
            <w:r>
              <w:rPr>
                <w:rFonts w:hint="eastAsia"/>
              </w:rPr>
              <w:t>全年预算数</w:t>
            </w:r>
          </w:p>
        </w:tc>
        <w:tc>
          <w:tcPr>
            <w:tcW w:w="1440" w:type="dxa"/>
            <w:gridSpan w:val="2"/>
            <w:tcBorders>
              <w:top w:val="nil"/>
              <w:left w:val="nil"/>
              <w:bottom w:val="single" w:color="auto" w:sz="4" w:space="0"/>
              <w:right w:val="single" w:color="auto" w:sz="4" w:space="0"/>
            </w:tcBorders>
            <w:vAlign w:val="center"/>
          </w:tcPr>
          <w:p>
            <w:r>
              <w:rPr>
                <w:rFonts w:hint="eastAsia"/>
              </w:rPr>
              <w:t>全年执行数</w:t>
            </w:r>
          </w:p>
        </w:tc>
        <w:tc>
          <w:tcPr>
            <w:tcW w:w="705" w:type="dxa"/>
            <w:tcBorders>
              <w:top w:val="nil"/>
              <w:left w:val="nil"/>
              <w:bottom w:val="single" w:color="auto" w:sz="4" w:space="0"/>
              <w:right w:val="single" w:color="auto" w:sz="4" w:space="0"/>
            </w:tcBorders>
            <w:vAlign w:val="center"/>
          </w:tcPr>
          <w:p>
            <w:r>
              <w:rPr>
                <w:rFonts w:hint="eastAsia"/>
              </w:rPr>
              <w:t>分值</w:t>
            </w:r>
          </w:p>
        </w:tc>
        <w:tc>
          <w:tcPr>
            <w:tcW w:w="915" w:type="dxa"/>
            <w:tcBorders>
              <w:top w:val="single" w:color="auto" w:sz="4" w:space="0"/>
              <w:left w:val="nil"/>
              <w:bottom w:val="single" w:color="auto" w:sz="4" w:space="0"/>
              <w:right w:val="single" w:color="auto" w:sz="4" w:space="0"/>
            </w:tcBorders>
            <w:vAlign w:val="center"/>
          </w:tcPr>
          <w:p>
            <w:r>
              <w:rPr>
                <w:rFonts w:hint="eastAsia"/>
              </w:rPr>
              <w:t>执行率</w:t>
            </w:r>
          </w:p>
        </w:tc>
        <w:tc>
          <w:tcPr>
            <w:tcW w:w="667" w:type="dxa"/>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33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14" w:type="dxa"/>
            <w:tcBorders>
              <w:top w:val="nil"/>
              <w:left w:val="nil"/>
              <w:bottom w:val="single" w:color="auto" w:sz="4" w:space="0"/>
              <w:right w:val="single" w:color="auto" w:sz="4" w:space="0"/>
            </w:tcBorders>
            <w:vAlign w:val="center"/>
          </w:tcPr>
          <w:p>
            <w:pPr>
              <w:jc w:val="center"/>
              <w:rPr>
                <w:rFonts w:hint="default"/>
                <w:lang w:val="en-US" w:eastAsia="zh-CN"/>
              </w:rPr>
            </w:pPr>
            <w:r>
              <w:rPr>
                <w:rFonts w:hint="eastAsia"/>
                <w:lang w:val="en-US" w:eastAsia="zh-CN"/>
              </w:rPr>
              <w:t>20.00</w:t>
            </w:r>
          </w:p>
        </w:tc>
        <w:tc>
          <w:tcPr>
            <w:tcW w:w="1275" w:type="dxa"/>
            <w:gridSpan w:val="2"/>
            <w:tcBorders>
              <w:top w:val="nil"/>
              <w:left w:val="nil"/>
              <w:bottom w:val="single" w:color="auto" w:sz="4" w:space="0"/>
              <w:right w:val="single" w:color="auto" w:sz="4" w:space="0"/>
            </w:tcBorders>
            <w:vAlign w:val="center"/>
          </w:tcPr>
          <w:p>
            <w:pPr>
              <w:jc w:val="center"/>
              <w:rPr>
                <w:rFonts w:hint="default"/>
                <w:lang w:val="en-US" w:eastAsia="zh-CN"/>
              </w:rPr>
            </w:pPr>
            <w:r>
              <w:rPr>
                <w:rFonts w:hint="eastAsia"/>
                <w:lang w:val="en-US" w:eastAsia="zh-CN"/>
              </w:rPr>
              <w:t>15.95</w:t>
            </w:r>
          </w:p>
        </w:tc>
        <w:tc>
          <w:tcPr>
            <w:tcW w:w="1440" w:type="dxa"/>
            <w:gridSpan w:val="2"/>
            <w:tcBorders>
              <w:top w:val="nil"/>
              <w:left w:val="nil"/>
              <w:bottom w:val="single" w:color="auto" w:sz="4" w:space="0"/>
              <w:right w:val="single" w:color="auto" w:sz="4" w:space="0"/>
            </w:tcBorders>
            <w:vAlign w:val="center"/>
          </w:tcPr>
          <w:p>
            <w:pPr>
              <w:jc w:val="center"/>
              <w:rPr>
                <w:rFonts w:hint="eastAsia"/>
              </w:rPr>
            </w:pPr>
            <w:r>
              <w:rPr>
                <w:rFonts w:hint="eastAsia"/>
                <w:lang w:val="en-US" w:eastAsia="zh-CN"/>
              </w:rPr>
              <w:t>15.95</w:t>
            </w:r>
          </w:p>
        </w:tc>
        <w:tc>
          <w:tcPr>
            <w:tcW w:w="705" w:type="dxa"/>
            <w:tcBorders>
              <w:top w:val="nil"/>
              <w:left w:val="nil"/>
              <w:bottom w:val="single" w:color="auto" w:sz="4" w:space="0"/>
              <w:right w:val="single" w:color="auto" w:sz="4" w:space="0"/>
            </w:tcBorders>
            <w:vAlign w:val="center"/>
          </w:tcPr>
          <w:p>
            <w:r>
              <w:rPr>
                <w:rFonts w:hint="eastAsia"/>
              </w:rPr>
              <w:t>10</w:t>
            </w:r>
          </w:p>
        </w:tc>
        <w:tc>
          <w:tcPr>
            <w:tcW w:w="915" w:type="dxa"/>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w:t>
            </w:r>
          </w:p>
        </w:tc>
        <w:tc>
          <w:tcPr>
            <w:tcW w:w="667"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14" w:type="dxa"/>
            <w:tcBorders>
              <w:top w:val="nil"/>
              <w:left w:val="nil"/>
              <w:bottom w:val="single" w:color="auto" w:sz="4" w:space="0"/>
              <w:right w:val="single" w:color="auto" w:sz="4" w:space="0"/>
            </w:tcBorders>
            <w:vAlign w:val="center"/>
          </w:tcPr>
          <w:p>
            <w:pPr>
              <w:jc w:val="center"/>
              <w:rPr>
                <w:rFonts w:hint="eastAsia"/>
              </w:rPr>
            </w:pPr>
            <w:r>
              <w:rPr>
                <w:rFonts w:hint="eastAsia"/>
                <w:lang w:val="en-US" w:eastAsia="zh-CN"/>
              </w:rPr>
              <w:t>20.00</w:t>
            </w:r>
          </w:p>
        </w:tc>
        <w:tc>
          <w:tcPr>
            <w:tcW w:w="1275" w:type="dxa"/>
            <w:gridSpan w:val="2"/>
            <w:tcBorders>
              <w:top w:val="nil"/>
              <w:left w:val="nil"/>
              <w:bottom w:val="single" w:color="auto" w:sz="4" w:space="0"/>
              <w:right w:val="single" w:color="auto" w:sz="4" w:space="0"/>
            </w:tcBorders>
            <w:vAlign w:val="center"/>
          </w:tcPr>
          <w:p>
            <w:pPr>
              <w:jc w:val="center"/>
              <w:rPr>
                <w:rFonts w:hint="eastAsia"/>
              </w:rPr>
            </w:pPr>
            <w:r>
              <w:rPr>
                <w:rFonts w:hint="eastAsia"/>
                <w:lang w:val="en-US" w:eastAsia="zh-CN"/>
              </w:rPr>
              <w:t>15.95</w:t>
            </w:r>
          </w:p>
        </w:tc>
        <w:tc>
          <w:tcPr>
            <w:tcW w:w="1440" w:type="dxa"/>
            <w:gridSpan w:val="2"/>
            <w:tcBorders>
              <w:top w:val="nil"/>
              <w:left w:val="nil"/>
              <w:bottom w:val="single" w:color="auto" w:sz="4" w:space="0"/>
              <w:right w:val="single" w:color="auto" w:sz="4" w:space="0"/>
            </w:tcBorders>
            <w:vAlign w:val="center"/>
          </w:tcPr>
          <w:p>
            <w:pPr>
              <w:jc w:val="center"/>
              <w:rPr>
                <w:rFonts w:hint="eastAsia"/>
              </w:rPr>
            </w:pPr>
            <w:r>
              <w:rPr>
                <w:rFonts w:hint="eastAsia"/>
                <w:lang w:val="en-US" w:eastAsia="zh-CN"/>
              </w:rPr>
              <w:t>15.95</w:t>
            </w:r>
          </w:p>
        </w:tc>
        <w:tc>
          <w:tcPr>
            <w:tcW w:w="705" w:type="dxa"/>
            <w:tcBorders>
              <w:top w:val="nil"/>
              <w:left w:val="nil"/>
              <w:bottom w:val="single" w:color="auto" w:sz="4" w:space="0"/>
              <w:right w:val="single" w:color="auto" w:sz="4" w:space="0"/>
            </w:tcBorders>
            <w:vAlign w:val="center"/>
          </w:tcPr>
          <w:p>
            <w:r>
              <w:rPr>
                <w:rFonts w:hint="eastAsia"/>
              </w:rPr>
              <w:t>—</w:t>
            </w:r>
          </w:p>
        </w:tc>
        <w:tc>
          <w:tcPr>
            <w:tcW w:w="915" w:type="dxa"/>
            <w:tcBorders>
              <w:top w:val="single" w:color="auto" w:sz="4" w:space="0"/>
              <w:left w:val="nil"/>
              <w:bottom w:val="single" w:color="auto" w:sz="4" w:space="0"/>
              <w:right w:val="single" w:color="auto" w:sz="4" w:space="0"/>
            </w:tcBorders>
            <w:vAlign w:val="center"/>
          </w:tcPr>
          <w:p>
            <w:pP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667"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114" w:type="dxa"/>
            <w:tcBorders>
              <w:top w:val="nil"/>
              <w:left w:val="nil"/>
              <w:bottom w:val="single" w:color="auto" w:sz="4" w:space="0"/>
              <w:right w:val="single" w:color="auto" w:sz="4" w:space="0"/>
            </w:tcBorders>
            <w:vAlign w:val="center"/>
          </w:tcPr>
          <w:p/>
        </w:tc>
        <w:tc>
          <w:tcPr>
            <w:tcW w:w="1275" w:type="dxa"/>
            <w:gridSpan w:val="2"/>
            <w:tcBorders>
              <w:top w:val="nil"/>
              <w:left w:val="nil"/>
              <w:bottom w:val="single" w:color="auto" w:sz="4" w:space="0"/>
              <w:right w:val="single" w:color="auto" w:sz="4" w:space="0"/>
            </w:tcBorders>
            <w:vAlign w:val="center"/>
          </w:tcPr>
          <w:p/>
        </w:tc>
        <w:tc>
          <w:tcPr>
            <w:tcW w:w="1440" w:type="dxa"/>
            <w:gridSpan w:val="2"/>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r>
              <w:rPr>
                <w:rFonts w:hint="eastAsia"/>
              </w:rPr>
              <w:t>—</w:t>
            </w:r>
          </w:p>
        </w:tc>
        <w:tc>
          <w:tcPr>
            <w:tcW w:w="915" w:type="dxa"/>
            <w:tcBorders>
              <w:top w:val="single" w:color="auto" w:sz="4" w:space="0"/>
              <w:left w:val="nil"/>
              <w:bottom w:val="single" w:color="auto" w:sz="4" w:space="0"/>
              <w:right w:val="single" w:color="auto" w:sz="4" w:space="0"/>
            </w:tcBorders>
            <w:vAlign w:val="center"/>
          </w:tcPr>
          <w:p/>
        </w:tc>
        <w:tc>
          <w:tcPr>
            <w:tcW w:w="667"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14" w:type="dxa"/>
            <w:tcBorders>
              <w:top w:val="nil"/>
              <w:left w:val="nil"/>
              <w:bottom w:val="single" w:color="auto" w:sz="4" w:space="0"/>
              <w:right w:val="single" w:color="auto" w:sz="4" w:space="0"/>
            </w:tcBorders>
            <w:vAlign w:val="center"/>
          </w:tcPr>
          <w:p/>
        </w:tc>
        <w:tc>
          <w:tcPr>
            <w:tcW w:w="1275" w:type="dxa"/>
            <w:gridSpan w:val="2"/>
            <w:tcBorders>
              <w:top w:val="nil"/>
              <w:left w:val="nil"/>
              <w:bottom w:val="single" w:color="auto" w:sz="4" w:space="0"/>
              <w:right w:val="single" w:color="auto" w:sz="4" w:space="0"/>
            </w:tcBorders>
            <w:vAlign w:val="center"/>
          </w:tcPr>
          <w:p/>
        </w:tc>
        <w:tc>
          <w:tcPr>
            <w:tcW w:w="1440" w:type="dxa"/>
            <w:gridSpan w:val="2"/>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r>
              <w:rPr>
                <w:rFonts w:hint="eastAsia"/>
              </w:rPr>
              <w:t>—</w:t>
            </w:r>
          </w:p>
        </w:tc>
        <w:tc>
          <w:tcPr>
            <w:tcW w:w="915" w:type="dxa"/>
            <w:tcBorders>
              <w:top w:val="single" w:color="auto" w:sz="4" w:space="0"/>
              <w:left w:val="nil"/>
              <w:bottom w:val="single" w:color="auto" w:sz="4" w:space="0"/>
              <w:right w:val="single" w:color="auto" w:sz="4" w:space="0"/>
            </w:tcBorders>
            <w:vAlign w:val="center"/>
          </w:tcPr>
          <w:p/>
        </w:tc>
        <w:tc>
          <w:tcPr>
            <w:tcW w:w="667"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711"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162" w:type="dxa"/>
            <w:gridSpan w:val="6"/>
            <w:tcBorders>
              <w:top w:val="single" w:color="auto" w:sz="4" w:space="0"/>
              <w:left w:val="nil"/>
              <w:bottom w:val="single" w:color="auto" w:sz="4" w:space="0"/>
              <w:right w:val="single" w:color="auto" w:sz="4" w:space="0"/>
            </w:tcBorders>
            <w:vAlign w:val="center"/>
          </w:tcPr>
          <w:p>
            <w:r>
              <w:rPr>
                <w:rFonts w:hint="eastAsia"/>
              </w:rPr>
              <w:t>预期目标</w:t>
            </w:r>
          </w:p>
        </w:tc>
        <w:tc>
          <w:tcPr>
            <w:tcW w:w="3727" w:type="dxa"/>
            <w:gridSpan w:val="5"/>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3" w:hRule="atLeast"/>
          <w:jc w:val="center"/>
        </w:trPr>
        <w:tc>
          <w:tcPr>
            <w:tcW w:w="711" w:type="dxa"/>
            <w:vMerge w:val="continue"/>
            <w:tcBorders>
              <w:top w:val="nil"/>
              <w:left w:val="single" w:color="auto" w:sz="4" w:space="0"/>
              <w:bottom w:val="single" w:color="auto" w:sz="4" w:space="0"/>
              <w:right w:val="single" w:color="auto" w:sz="4" w:space="0"/>
            </w:tcBorders>
            <w:vAlign w:val="center"/>
          </w:tcPr>
          <w:p/>
        </w:tc>
        <w:tc>
          <w:tcPr>
            <w:tcW w:w="5162"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400"/>
              <w:jc w:val="both"/>
              <w:textAlignment w:val="auto"/>
              <w:rPr>
                <w:rFonts w:hint="default" w:ascii="宋体" w:hAnsi="宋体" w:eastAsia="宋体" w:cs="宋体"/>
                <w:kern w:val="0"/>
                <w:sz w:val="20"/>
                <w:szCs w:val="20"/>
                <w:lang w:val="en-US" w:eastAsia="zh-CN"/>
              </w:rPr>
            </w:pPr>
            <w:r>
              <w:rPr>
                <w:rFonts w:hint="eastAsia" w:ascii="宋体" w:hAnsi="宋体" w:eastAsia="宋体" w:cs="宋体"/>
                <w:kern w:val="0"/>
                <w:sz w:val="20"/>
                <w:szCs w:val="20"/>
                <w:lang w:eastAsia="zh-CN"/>
              </w:rPr>
              <w:t>北京金北康养老服务有限公司以专业服务能力，负责配合街道为未成年保护工作提供专业服务，落实推动未成年人保护工作持续稳步发展。</w:t>
            </w:r>
          </w:p>
          <w:p>
            <w:pPr>
              <w:keepNext w:val="0"/>
              <w:keepLines w:val="0"/>
              <w:pageBreakBefore w:val="0"/>
              <w:widowControl/>
              <w:kinsoku/>
              <w:wordWrap/>
              <w:overflowPunct/>
              <w:topLinePunct w:val="0"/>
              <w:autoSpaceDE/>
              <w:autoSpaceDN/>
              <w:bidi w:val="0"/>
              <w:adjustRightInd/>
              <w:snapToGrid/>
              <w:spacing w:line="240" w:lineRule="auto"/>
              <w:ind w:firstLine="400" w:firstLineChars="200"/>
              <w:jc w:val="left"/>
              <w:textAlignment w:val="auto"/>
              <w:rPr>
                <w:rFonts w:hint="eastAsia"/>
                <w:sz w:val="20"/>
                <w:szCs w:val="20"/>
                <w:lang w:val="en-US" w:eastAsia="zh-CN"/>
              </w:rPr>
            </w:pPr>
            <w:r>
              <w:rPr>
                <w:rFonts w:hint="eastAsia"/>
                <w:sz w:val="20"/>
                <w:szCs w:val="20"/>
                <w:lang w:val="en-US" w:eastAsia="zh-CN"/>
              </w:rPr>
              <w:t>1.</w:t>
            </w:r>
            <w:r>
              <w:rPr>
                <w:rFonts w:hint="eastAsia"/>
                <w:sz w:val="20"/>
                <w:szCs w:val="20"/>
                <w:lang w:eastAsia="zh-CN"/>
              </w:rPr>
              <w:t>根据上级下发相关文件与工作要求，白纸坊街道与北京金北康养老服务有限公司签署未成年保护工作项目第三方服务合同，根据合同服务内容，支付项目服务合同</w:t>
            </w:r>
            <w:r>
              <w:rPr>
                <w:rFonts w:hint="eastAsia"/>
                <w:sz w:val="20"/>
                <w:szCs w:val="20"/>
                <w:lang w:val="en-US" w:eastAsia="zh-CN"/>
              </w:rPr>
              <w:t>尾款12万元。</w:t>
            </w:r>
          </w:p>
          <w:p>
            <w:pPr>
              <w:keepNext w:val="0"/>
              <w:keepLines w:val="0"/>
              <w:pageBreakBefore w:val="0"/>
              <w:widowControl/>
              <w:kinsoku/>
              <w:wordWrap/>
              <w:overflowPunct/>
              <w:topLinePunct w:val="0"/>
              <w:autoSpaceDE/>
              <w:autoSpaceDN/>
              <w:bidi w:val="0"/>
              <w:adjustRightInd/>
              <w:snapToGrid/>
              <w:spacing w:line="240" w:lineRule="auto"/>
              <w:ind w:firstLine="400" w:firstLineChars="200"/>
              <w:jc w:val="left"/>
              <w:textAlignment w:val="auto"/>
              <w:rPr>
                <w:rFonts w:hint="eastAsia"/>
                <w:sz w:val="20"/>
                <w:szCs w:val="20"/>
                <w:lang w:val="en-US" w:eastAsia="zh-CN"/>
              </w:rPr>
            </w:pPr>
            <w:r>
              <w:rPr>
                <w:rFonts w:hint="eastAsia"/>
                <w:sz w:val="20"/>
                <w:szCs w:val="20"/>
                <w:lang w:val="en-US" w:eastAsia="zh-CN"/>
              </w:rPr>
              <w:t>2.支付项目开展活动费用3.95万元。</w:t>
            </w:r>
          </w:p>
          <w:p>
            <w:pPr>
              <w:keepNext w:val="0"/>
              <w:keepLines w:val="0"/>
              <w:pageBreakBefore w:val="0"/>
              <w:widowControl/>
              <w:kinsoku/>
              <w:wordWrap/>
              <w:overflowPunct/>
              <w:topLinePunct w:val="0"/>
              <w:autoSpaceDE/>
              <w:autoSpaceDN/>
              <w:bidi w:val="0"/>
              <w:adjustRightInd/>
              <w:snapToGrid/>
              <w:spacing w:line="240" w:lineRule="auto"/>
              <w:ind w:firstLine="400" w:firstLineChars="200"/>
              <w:jc w:val="left"/>
              <w:textAlignment w:val="auto"/>
              <w:rPr>
                <w:rFonts w:hint="default"/>
                <w:sz w:val="20"/>
                <w:szCs w:val="20"/>
                <w:lang w:val="en-US" w:eastAsia="zh-CN"/>
              </w:rPr>
            </w:pPr>
            <w:r>
              <w:rPr>
                <w:rFonts w:hint="eastAsia"/>
                <w:sz w:val="20"/>
                <w:szCs w:val="20"/>
                <w:lang w:val="en-US" w:eastAsia="zh-CN"/>
              </w:rPr>
              <w:t>共计15.95万元</w:t>
            </w:r>
          </w:p>
          <w:p>
            <w:pPr>
              <w:keepNext w:val="0"/>
              <w:keepLines w:val="0"/>
              <w:pageBreakBefore w:val="0"/>
              <w:widowControl/>
              <w:kinsoku/>
              <w:wordWrap/>
              <w:overflowPunct/>
              <w:topLinePunct w:val="0"/>
              <w:autoSpaceDE/>
              <w:autoSpaceDN/>
              <w:bidi w:val="0"/>
              <w:adjustRightInd/>
              <w:snapToGrid/>
              <w:spacing w:line="240" w:lineRule="auto"/>
              <w:ind w:firstLine="400" w:firstLineChars="200"/>
              <w:jc w:val="left"/>
              <w:textAlignment w:val="auto"/>
              <w:rPr>
                <w:rFonts w:hint="default"/>
                <w:sz w:val="20"/>
                <w:szCs w:val="20"/>
                <w:lang w:val="en-US" w:eastAsia="zh-CN"/>
              </w:rPr>
            </w:pPr>
          </w:p>
        </w:tc>
        <w:tc>
          <w:tcPr>
            <w:tcW w:w="3727"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400"/>
              <w:jc w:val="both"/>
              <w:textAlignment w:val="auto"/>
            </w:pPr>
            <w:r>
              <w:rPr>
                <w:rFonts w:hint="eastAsia" w:ascii="宋体" w:hAnsi="宋体" w:eastAsia="宋体" w:cs="宋体"/>
                <w:kern w:val="0"/>
                <w:sz w:val="20"/>
                <w:szCs w:val="20"/>
                <w:lang w:val="zh-CN" w:eastAsia="zh-CN"/>
              </w:rPr>
              <w:t>通过公司的专业服务，深化“一老一小”品牌建设，创新打造“一纸画卷·共绘老幼幸福图景”服务品牌。围绕五大特色服务开展系列活动：成功举办7场"老幼里仁为美"社区活动，吸</w:t>
            </w:r>
            <w:bookmarkStart w:id="0" w:name="_GoBack"/>
            <w:bookmarkEnd w:id="0"/>
            <w:r>
              <w:rPr>
                <w:rFonts w:hint="eastAsia" w:ascii="宋体" w:hAnsi="宋体" w:eastAsia="宋体" w:cs="宋体"/>
                <w:kern w:val="0"/>
                <w:sz w:val="20"/>
                <w:szCs w:val="20"/>
                <w:lang w:val="zh-CN" w:eastAsia="zh-CN"/>
              </w:rPr>
              <w:t>引200余位居民参与；组织3场"老幼家风续写"家庭教育，覆盖50余组家庭；开展6期"老幼非遗传承"纸艺工作坊，服务200余人次；动员400余名"老幼志愿携手"志愿者参与社区治理；举办"老幼军民同乐"军营体验活动，惠及150余人。有效促进了代际融合、提升了社区治理水平、推动了非遗文化传承、培育了家国情怀，未成年人保护工作健康有序发展，成功完善了"两个未保品牌、三支未保队伍、三级服务矩阵、四项工作机制、五大支持服务"的未成年人保护工作体系。</w:t>
            </w:r>
          </w:p>
        </w:tc>
      </w:tr>
      <w:tr>
        <w:tblPrEx>
          <w:tblCellMar>
            <w:top w:w="0" w:type="dxa"/>
            <w:left w:w="108" w:type="dxa"/>
            <w:bottom w:w="0" w:type="dxa"/>
            <w:right w:w="108" w:type="dxa"/>
          </w:tblCellMar>
        </w:tblPrEx>
        <w:trPr>
          <w:trHeight w:val="23" w:hRule="atLeast"/>
          <w:jc w:val="center"/>
        </w:trPr>
        <w:tc>
          <w:tcPr>
            <w:tcW w:w="711"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996" w:type="dxa"/>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680"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760" w:type="dxa"/>
            <w:tcBorders>
              <w:top w:val="nil"/>
              <w:left w:val="nil"/>
              <w:bottom w:val="single" w:color="auto" w:sz="4" w:space="0"/>
              <w:right w:val="single" w:color="auto" w:sz="4" w:space="0"/>
            </w:tcBorders>
            <w:vAlign w:val="center"/>
          </w:tcPr>
          <w:p>
            <w:r>
              <w:rPr>
                <w:rFonts w:hint="eastAsia"/>
              </w:rPr>
              <w:t>分值</w:t>
            </w:r>
          </w:p>
        </w:tc>
        <w:tc>
          <w:tcPr>
            <w:tcW w:w="705" w:type="dxa"/>
            <w:tcBorders>
              <w:top w:val="nil"/>
              <w:left w:val="nil"/>
              <w:bottom w:val="single" w:color="auto" w:sz="4" w:space="0"/>
              <w:right w:val="single" w:color="auto" w:sz="4" w:space="0"/>
            </w:tcBorders>
            <w:vAlign w:val="center"/>
          </w:tcPr>
          <w:p>
            <w:r>
              <w:rPr>
                <w:rFonts w:hint="eastAsia"/>
              </w:rPr>
              <w:t>得分</w:t>
            </w:r>
          </w:p>
        </w:tc>
        <w:tc>
          <w:tcPr>
            <w:tcW w:w="1582"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指标1：</w:t>
            </w:r>
            <w:r>
              <w:rPr>
                <w:rFonts w:hint="eastAsia" w:ascii="宋体" w:hAnsi="宋体" w:eastAsia="宋体" w:cs="宋体"/>
                <w:kern w:val="0"/>
                <w:sz w:val="20"/>
                <w:szCs w:val="20"/>
                <w:highlight w:val="none"/>
                <w:lang w:val="en-US" w:eastAsia="zh-CN"/>
              </w:rPr>
              <w:t>组织开展丰富的未成年人服务活动</w:t>
            </w:r>
          </w:p>
        </w:tc>
        <w:tc>
          <w:tcPr>
            <w:tcW w:w="99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12次</w:t>
            </w:r>
          </w:p>
        </w:tc>
        <w:tc>
          <w:tcPr>
            <w:tcW w:w="68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12次</w:t>
            </w:r>
          </w:p>
        </w:tc>
        <w:tc>
          <w:tcPr>
            <w:tcW w:w="76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sz w:val="20"/>
                <w:szCs w:val="20"/>
              </w:rPr>
            </w:pPr>
            <w:r>
              <w:rPr>
                <w:rFonts w:hint="eastAsia" w:ascii="宋体" w:hAnsi="宋体" w:eastAsia="宋体" w:cs="宋体"/>
                <w:color w:val="000000"/>
                <w:kern w:val="0"/>
                <w:sz w:val="20"/>
                <w:szCs w:val="20"/>
              </w:rPr>
              <w:t>指标1：</w:t>
            </w:r>
            <w:r>
              <w:rPr>
                <w:rFonts w:hint="eastAsia" w:ascii="宋体" w:hAnsi="宋体" w:eastAsia="宋体" w:cs="宋体"/>
                <w:color w:val="000000"/>
                <w:kern w:val="0"/>
                <w:sz w:val="20"/>
                <w:szCs w:val="20"/>
                <w:highlight w:val="none"/>
                <w:lang w:val="en-US" w:eastAsia="zh-CN"/>
              </w:rPr>
              <w:t>在街道开展未成年人保护工作中提供专业服务，落实加强对街道未成年人保护工作，配合街道不断推动未成年人保护工作健康有序发展。</w:t>
            </w:r>
          </w:p>
        </w:tc>
        <w:tc>
          <w:tcPr>
            <w:tcW w:w="996"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100%</w:t>
            </w:r>
          </w:p>
        </w:tc>
        <w:tc>
          <w:tcPr>
            <w:tcW w:w="680"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完成</w:t>
            </w:r>
          </w:p>
        </w:tc>
        <w:tc>
          <w:tcPr>
            <w:tcW w:w="760"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w:t>
            </w:r>
          </w:p>
        </w:tc>
        <w:tc>
          <w:tcPr>
            <w:tcW w:w="705"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sz w:val="20"/>
                <w:szCs w:val="20"/>
              </w:rPr>
            </w:pPr>
            <w:r>
              <w:rPr>
                <w:rFonts w:hint="eastAsia" w:ascii="宋体" w:hAnsi="宋体" w:eastAsia="宋体" w:cs="宋体"/>
                <w:color w:val="000000"/>
                <w:kern w:val="0"/>
                <w:sz w:val="20"/>
                <w:szCs w:val="20"/>
              </w:rPr>
              <w:t>指标1：</w:t>
            </w:r>
            <w:r>
              <w:rPr>
                <w:rFonts w:hint="eastAsia" w:ascii="宋体" w:hAnsi="宋体" w:eastAsia="宋体" w:cs="宋体"/>
                <w:color w:val="000000"/>
                <w:kern w:val="0"/>
                <w:sz w:val="20"/>
                <w:szCs w:val="20"/>
                <w:highlight w:val="none"/>
                <w:lang w:eastAsia="zh-CN"/>
              </w:rPr>
              <w:t>未成年人保护工作开展时间</w:t>
            </w:r>
          </w:p>
        </w:tc>
        <w:tc>
          <w:tcPr>
            <w:tcW w:w="996"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color w:val="000000"/>
                <w:kern w:val="0"/>
                <w:sz w:val="20"/>
                <w:szCs w:val="20"/>
                <w:lang w:eastAsia="zh-CN"/>
              </w:rPr>
              <w:t>全年</w:t>
            </w:r>
          </w:p>
        </w:tc>
        <w:tc>
          <w:tcPr>
            <w:tcW w:w="680"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eastAsia="zh-CN"/>
              </w:rPr>
              <w:t>按时开展</w:t>
            </w:r>
          </w:p>
        </w:tc>
        <w:tc>
          <w:tcPr>
            <w:tcW w:w="760"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w:t>
            </w:r>
          </w:p>
        </w:tc>
        <w:tc>
          <w:tcPr>
            <w:tcW w:w="705"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sz w:val="20"/>
                <w:szCs w:val="20"/>
              </w:rPr>
            </w:pPr>
            <w:r>
              <w:rPr>
                <w:rFonts w:hint="eastAsia" w:ascii="宋体" w:hAnsi="宋体" w:eastAsia="宋体" w:cs="宋体"/>
                <w:color w:val="000000"/>
                <w:kern w:val="0"/>
                <w:sz w:val="20"/>
                <w:szCs w:val="20"/>
              </w:rPr>
              <w:t>指标1：</w:t>
            </w:r>
            <w:r>
              <w:rPr>
                <w:rFonts w:hint="eastAsia" w:ascii="宋体" w:hAnsi="宋体" w:eastAsia="宋体" w:cs="宋体"/>
                <w:color w:val="000000"/>
                <w:kern w:val="0"/>
                <w:sz w:val="20"/>
                <w:szCs w:val="20"/>
                <w:lang w:eastAsia="zh-CN"/>
              </w:rPr>
              <w:t>项目控制数</w:t>
            </w:r>
          </w:p>
        </w:tc>
        <w:tc>
          <w:tcPr>
            <w:tcW w:w="996" w:type="dxa"/>
            <w:tcBorders>
              <w:top w:val="nil"/>
              <w:left w:val="nil"/>
              <w:bottom w:val="single" w:color="auto" w:sz="4" w:space="0"/>
              <w:right w:val="single" w:color="auto" w:sz="4" w:space="0"/>
            </w:tcBorders>
            <w:vAlign w:val="center"/>
          </w:tcPr>
          <w:p>
            <w:pPr>
              <w:widowControl/>
              <w:spacing w:line="240" w:lineRule="exact"/>
              <w:jc w:val="center"/>
              <w:rPr>
                <w:rFonts w:hint="default" w:eastAsiaTheme="minorEastAsia"/>
                <w:sz w:val="20"/>
                <w:szCs w:val="20"/>
                <w:lang w:val="en-US" w:eastAsia="zh-CN"/>
              </w:rPr>
            </w:pPr>
            <w:r>
              <w:rPr>
                <w:rFonts w:hint="eastAsia" w:ascii="宋体" w:hAnsi="宋体" w:eastAsia="宋体" w:cs="宋体"/>
                <w:kern w:val="0"/>
                <w:sz w:val="20"/>
                <w:szCs w:val="20"/>
                <w:lang w:val="en-US" w:eastAsia="zh-CN"/>
              </w:rPr>
              <w:t>20.0000万元</w:t>
            </w:r>
          </w:p>
        </w:tc>
        <w:tc>
          <w:tcPr>
            <w:tcW w:w="680"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完成</w:t>
            </w:r>
          </w:p>
        </w:tc>
        <w:tc>
          <w:tcPr>
            <w:tcW w:w="760"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w:t>
            </w:r>
          </w:p>
        </w:tc>
        <w:tc>
          <w:tcPr>
            <w:tcW w:w="705"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指标1：</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textAlignment w:val="auto"/>
              <w:rPr>
                <w:sz w:val="20"/>
                <w:szCs w:val="20"/>
              </w:rPr>
            </w:pPr>
            <w:r>
              <w:rPr>
                <w:rFonts w:hint="eastAsia" w:ascii="宋体" w:hAnsi="宋体" w:eastAsia="宋体" w:cs="宋体"/>
                <w:color w:val="000000"/>
                <w:kern w:val="0"/>
                <w:sz w:val="20"/>
                <w:szCs w:val="20"/>
                <w:highlight w:val="none"/>
                <w:lang w:val="en-US" w:eastAsia="zh-CN"/>
              </w:rPr>
              <w:t>指标1：推动白纸坊街道发展未成年人保护意识以及未成年人服务意识。探索优化完善的“未成年人保护工作运作模式，进一步实现未成年人保护工作健康有序发展。</w:t>
            </w:r>
          </w:p>
        </w:tc>
        <w:tc>
          <w:tcPr>
            <w:tcW w:w="996" w:type="dxa"/>
            <w:tcBorders>
              <w:top w:val="nil"/>
              <w:left w:val="nil"/>
              <w:bottom w:val="single" w:color="auto" w:sz="4" w:space="0"/>
              <w:right w:val="single" w:color="auto" w:sz="4" w:space="0"/>
            </w:tcBorders>
            <w:vAlign w:val="center"/>
          </w:tcPr>
          <w:p>
            <w:pPr>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得到</w:t>
            </w:r>
          </w:p>
          <w:p>
            <w:pPr>
              <w:jc w:val="center"/>
              <w:rPr>
                <w:sz w:val="20"/>
                <w:szCs w:val="20"/>
              </w:rPr>
            </w:pPr>
            <w:r>
              <w:rPr>
                <w:rFonts w:hint="eastAsia" w:ascii="宋体" w:hAnsi="宋体" w:eastAsia="宋体" w:cs="宋体"/>
                <w:kern w:val="0"/>
                <w:sz w:val="20"/>
                <w:szCs w:val="20"/>
                <w:lang w:eastAsia="zh-CN"/>
              </w:rPr>
              <w:t>提升</w:t>
            </w:r>
          </w:p>
        </w:tc>
        <w:tc>
          <w:tcPr>
            <w:tcW w:w="680" w:type="dxa"/>
            <w:tcBorders>
              <w:top w:val="nil"/>
              <w:left w:val="nil"/>
              <w:bottom w:val="single" w:color="auto" w:sz="4" w:space="0"/>
              <w:right w:val="single" w:color="auto" w:sz="4" w:space="0"/>
            </w:tcBorders>
            <w:vAlign w:val="center"/>
          </w:tcPr>
          <w:p>
            <w:pPr>
              <w:rPr>
                <w:rFonts w:hint="eastAsia" w:eastAsiaTheme="minorEastAsia"/>
                <w:sz w:val="20"/>
                <w:szCs w:val="20"/>
                <w:lang w:eastAsia="zh-CN"/>
              </w:rPr>
            </w:pPr>
            <w:r>
              <w:rPr>
                <w:rFonts w:hint="eastAsia"/>
                <w:sz w:val="20"/>
                <w:szCs w:val="20"/>
                <w:lang w:eastAsia="zh-CN"/>
              </w:rPr>
              <w:t>完成</w:t>
            </w:r>
          </w:p>
        </w:tc>
        <w:tc>
          <w:tcPr>
            <w:tcW w:w="7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Theme="minorHAnsi" w:hAnsiTheme="minorHAnsi" w:eastAsiaTheme="minorEastAsia" w:cstheme="minorBidi"/>
                <w:kern w:val="2"/>
                <w:sz w:val="20"/>
                <w:szCs w:val="20"/>
                <w:lang w:val="en-US" w:eastAsia="zh-CN" w:bidi="ar-SA"/>
              </w:rPr>
            </w:pPr>
            <w:r>
              <w:rPr>
                <w:rFonts w:hint="eastAsia" w:ascii="宋体" w:hAnsi="宋体" w:eastAsia="宋体" w:cs="宋体"/>
                <w:kern w:val="0"/>
                <w:sz w:val="20"/>
                <w:szCs w:val="20"/>
                <w:lang w:val="en-US" w:eastAsia="zh-CN"/>
              </w:rPr>
              <w:t>20</w:t>
            </w:r>
          </w:p>
        </w:tc>
        <w:tc>
          <w:tcPr>
            <w:tcW w:w="70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Theme="minorHAnsi" w:hAnsiTheme="minorHAnsi" w:eastAsiaTheme="minorEastAsia" w:cstheme="minorBidi"/>
                <w:kern w:val="2"/>
                <w:sz w:val="20"/>
                <w:szCs w:val="20"/>
                <w:lang w:val="en-US" w:eastAsia="zh-CN" w:bidi="ar-SA"/>
              </w:rPr>
            </w:pPr>
            <w:r>
              <w:rPr>
                <w:rFonts w:hint="eastAsia" w:ascii="宋体" w:hAnsi="宋体" w:eastAsia="宋体" w:cs="宋体"/>
                <w:kern w:val="0"/>
                <w:sz w:val="20"/>
                <w:szCs w:val="20"/>
                <w:lang w:val="en-US" w:eastAsia="zh-CN"/>
              </w:rPr>
              <w:t>19</w:t>
            </w:r>
          </w:p>
        </w:tc>
        <w:tc>
          <w:tcPr>
            <w:tcW w:w="1582" w:type="dxa"/>
            <w:gridSpan w:val="2"/>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创新不足，需要加强亮点挖掘，有提升空间。</w:t>
            </w: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指标1：</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sz w:val="20"/>
                <w:szCs w:val="20"/>
              </w:rPr>
            </w:pPr>
            <w:r>
              <w:rPr>
                <w:rFonts w:hint="eastAsia" w:ascii="宋体" w:hAnsi="宋体" w:eastAsia="宋体" w:cs="宋体"/>
                <w:color w:val="000000"/>
                <w:kern w:val="0"/>
                <w:sz w:val="20"/>
                <w:szCs w:val="20"/>
              </w:rPr>
              <w:t>指标1：</w:t>
            </w:r>
            <w:r>
              <w:rPr>
                <w:rFonts w:hint="eastAsia" w:ascii="宋体" w:hAnsi="宋体" w:eastAsia="宋体" w:cs="宋体"/>
                <w:color w:val="000000"/>
                <w:kern w:val="0"/>
                <w:sz w:val="20"/>
                <w:szCs w:val="20"/>
                <w:highlight w:val="none"/>
                <w:lang w:val="zh-CN"/>
              </w:rPr>
              <w:t>推动未成年人保护工作健康有序发展</w:t>
            </w:r>
          </w:p>
        </w:tc>
        <w:tc>
          <w:tcPr>
            <w:tcW w:w="99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得到</w:t>
            </w:r>
          </w:p>
          <w:p>
            <w:pPr>
              <w:widowControl/>
              <w:spacing w:line="240" w:lineRule="exact"/>
              <w:jc w:val="center"/>
              <w:rPr>
                <w:sz w:val="20"/>
                <w:szCs w:val="20"/>
              </w:rPr>
            </w:pPr>
            <w:r>
              <w:rPr>
                <w:rFonts w:hint="eastAsia" w:ascii="宋体" w:hAnsi="宋体" w:eastAsia="宋体" w:cs="宋体"/>
                <w:kern w:val="0"/>
                <w:sz w:val="20"/>
                <w:szCs w:val="20"/>
                <w:lang w:eastAsia="zh-CN"/>
              </w:rPr>
              <w:t>提升</w:t>
            </w:r>
          </w:p>
        </w:tc>
        <w:tc>
          <w:tcPr>
            <w:tcW w:w="680" w:type="dxa"/>
            <w:tcBorders>
              <w:top w:val="nil"/>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eastAsia="zh-CN"/>
              </w:rPr>
              <w:t>完成</w:t>
            </w:r>
          </w:p>
        </w:tc>
        <w:tc>
          <w:tcPr>
            <w:tcW w:w="76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single" w:color="auto" w:sz="4" w:space="0"/>
              <w:left w:val="single" w:color="auto" w:sz="4" w:space="0"/>
              <w:right w:val="single" w:color="auto" w:sz="4" w:space="0"/>
            </w:tcBorders>
            <w:vAlign w:val="center"/>
          </w:tcPr>
          <w:p>
            <w:r>
              <w:rPr>
                <w:rFonts w:hint="eastAsia"/>
              </w:rPr>
              <w:t>满意度</w:t>
            </w:r>
          </w:p>
          <w:p>
            <w:r>
              <w:rPr>
                <w:rFonts w:hint="eastAsia"/>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sz w:val="20"/>
                <w:szCs w:val="20"/>
              </w:rPr>
            </w:pPr>
            <w:r>
              <w:rPr>
                <w:rFonts w:hint="eastAsia" w:ascii="宋体" w:hAnsi="宋体" w:eastAsia="宋体" w:cs="宋体"/>
                <w:color w:val="000000"/>
                <w:kern w:val="0"/>
                <w:sz w:val="20"/>
                <w:szCs w:val="20"/>
              </w:rPr>
              <w:t>指标1：</w:t>
            </w:r>
            <w:r>
              <w:rPr>
                <w:rFonts w:hint="eastAsia" w:ascii="宋体" w:hAnsi="宋体" w:eastAsia="宋体" w:cs="宋体"/>
                <w:color w:val="000000"/>
                <w:kern w:val="0"/>
                <w:sz w:val="20"/>
                <w:szCs w:val="20"/>
                <w:highlight w:val="none"/>
                <w:lang w:eastAsia="zh-CN"/>
              </w:rPr>
              <w:t>辖区内未成年儿童满意度</w:t>
            </w:r>
          </w:p>
        </w:tc>
        <w:tc>
          <w:tcPr>
            <w:tcW w:w="996" w:type="dxa"/>
            <w:tcBorders>
              <w:top w:val="single" w:color="auto" w:sz="4" w:space="0"/>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val="en-US" w:eastAsia="zh-CN"/>
              </w:rPr>
              <w:t>≥100%</w:t>
            </w:r>
          </w:p>
        </w:tc>
        <w:tc>
          <w:tcPr>
            <w:tcW w:w="68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20"/>
                <w:szCs w:val="20"/>
              </w:rPr>
            </w:pPr>
            <w:r>
              <w:rPr>
                <w:rFonts w:hint="eastAsia" w:ascii="宋体" w:hAnsi="宋体" w:eastAsia="宋体" w:cs="宋体"/>
                <w:kern w:val="0"/>
                <w:sz w:val="20"/>
                <w:szCs w:val="20"/>
                <w:lang w:eastAsia="zh-CN"/>
              </w:rPr>
              <w:t>完成</w:t>
            </w:r>
          </w:p>
        </w:tc>
        <w:tc>
          <w:tcPr>
            <w:tcW w:w="7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7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left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指标2：</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bottom w:val="single" w:color="auto" w:sz="4" w:space="0"/>
              <w:right w:val="single" w:color="auto" w:sz="4" w:space="0"/>
            </w:tcBorders>
            <w:vAlign w:val="center"/>
          </w:tcPr>
          <w:p/>
        </w:tc>
        <w:tc>
          <w:tcPr>
            <w:tcW w:w="963" w:type="dxa"/>
            <w:vMerge w:val="continue"/>
            <w:tcBorders>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rPr>
                <w:sz w:val="20"/>
                <w:szCs w:val="20"/>
              </w:rPr>
            </w:pPr>
            <w:r>
              <w:rPr>
                <w:rFonts w:hint="eastAsia"/>
                <w:sz w:val="20"/>
                <w:szCs w:val="20"/>
              </w:rPr>
              <w:t>……</w:t>
            </w:r>
          </w:p>
        </w:tc>
        <w:tc>
          <w:tcPr>
            <w:tcW w:w="996" w:type="dxa"/>
            <w:tcBorders>
              <w:top w:val="nil"/>
              <w:left w:val="nil"/>
              <w:bottom w:val="single" w:color="auto" w:sz="4" w:space="0"/>
              <w:right w:val="single" w:color="auto" w:sz="4" w:space="0"/>
            </w:tcBorders>
            <w:vAlign w:val="center"/>
          </w:tcPr>
          <w:p>
            <w:pPr>
              <w:rPr>
                <w:sz w:val="20"/>
                <w:szCs w:val="20"/>
              </w:rPr>
            </w:pPr>
          </w:p>
        </w:tc>
        <w:tc>
          <w:tcPr>
            <w:tcW w:w="680" w:type="dxa"/>
            <w:tcBorders>
              <w:top w:val="nil"/>
              <w:left w:val="nil"/>
              <w:bottom w:val="single" w:color="auto" w:sz="4" w:space="0"/>
              <w:right w:val="single" w:color="auto" w:sz="4" w:space="0"/>
            </w:tcBorders>
            <w:vAlign w:val="center"/>
          </w:tcPr>
          <w:p>
            <w:pPr>
              <w:rPr>
                <w:sz w:val="20"/>
                <w:szCs w:val="20"/>
              </w:rPr>
            </w:pPr>
          </w:p>
        </w:tc>
        <w:tc>
          <w:tcPr>
            <w:tcW w:w="760" w:type="dxa"/>
            <w:tcBorders>
              <w:top w:val="nil"/>
              <w:left w:val="nil"/>
              <w:bottom w:val="single" w:color="auto" w:sz="4" w:space="0"/>
              <w:right w:val="single" w:color="auto" w:sz="4" w:space="0"/>
            </w:tcBorders>
            <w:vAlign w:val="center"/>
          </w:tcPr>
          <w:p>
            <w:pPr>
              <w:rPr>
                <w:sz w:val="20"/>
                <w:szCs w:val="20"/>
              </w:rPr>
            </w:pPr>
          </w:p>
        </w:tc>
        <w:tc>
          <w:tcPr>
            <w:tcW w:w="705" w:type="dxa"/>
            <w:tcBorders>
              <w:top w:val="nil"/>
              <w:left w:val="nil"/>
              <w:bottom w:val="single" w:color="auto" w:sz="4" w:space="0"/>
              <w:right w:val="single" w:color="auto" w:sz="4" w:space="0"/>
            </w:tcBorders>
            <w:vAlign w:val="center"/>
          </w:tcPr>
          <w:p>
            <w:pPr>
              <w:rPr>
                <w:sz w:val="20"/>
                <w:szCs w:val="20"/>
              </w:rPr>
            </w:p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6553"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760"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w:t>
            </w:r>
          </w:p>
        </w:tc>
        <w:tc>
          <w:tcPr>
            <w:tcW w:w="705"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99</w:t>
            </w:r>
          </w:p>
        </w:tc>
        <w:tc>
          <w:tcPr>
            <w:tcW w:w="1582"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23422"/>
    <w:rsid w:val="04CA56EA"/>
    <w:rsid w:val="08CE5D49"/>
    <w:rsid w:val="0ED447B7"/>
    <w:rsid w:val="0FB23422"/>
    <w:rsid w:val="19C31308"/>
    <w:rsid w:val="215F694A"/>
    <w:rsid w:val="25D6296C"/>
    <w:rsid w:val="28E84ED5"/>
    <w:rsid w:val="292237B2"/>
    <w:rsid w:val="2FEE3C36"/>
    <w:rsid w:val="35B54BBF"/>
    <w:rsid w:val="3C3D3AA5"/>
    <w:rsid w:val="4C4301CD"/>
    <w:rsid w:val="53E46A34"/>
    <w:rsid w:val="56B96CE1"/>
    <w:rsid w:val="5B2D31E3"/>
    <w:rsid w:val="5D611710"/>
    <w:rsid w:val="5DE8453A"/>
    <w:rsid w:val="75001A32"/>
    <w:rsid w:val="792C5E5B"/>
    <w:rsid w:val="7C025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1049</Words>
  <Characters>1129</Characters>
  <Lines>0</Lines>
  <Paragraphs>0</Paragraphs>
  <TotalTime>1</TotalTime>
  <ScaleCrop>false</ScaleCrop>
  <LinksUpToDate>false</LinksUpToDate>
  <CharactersWithSpaces>1137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2025-03-17T09:19:00Z</dcterms:created>
  <dc:creator>嘟嘟</dc:creator>
  <cp:lastModifiedBy>嘟嘟</cp:lastModifiedBy>
  <dcterms:modified xsi:type="dcterms:W3CDTF">2025-08-22T07:14:00Z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KSOTemplateDocerSaveRecord">
    <vt:lpwstr>eyJoZGlkIjoiMTM5Y2IzMGE4MWMxZTUzYTc1NTMyNjA1MDViMTNiY2UiLCJ1c2VySWQiOiIzMzEzOTU5MDMifQ==</vt:lpwstr>
  </property>
  <property fmtid="{D5CDD505-2E9C-101B-9397-08002B2CF9AE}" pid="4" name="ICV">
    <vt:lpwstr>B86866EAF7ED450A9E0B9FBB89685CEB_13</vt:lpwstr>
  </property>
</Properties>
</file>