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651" w:type="dxa"/>
        <w:jc w:val="center"/>
        <w:tblLayout w:type="fixed"/>
        <w:tblCellMar>
          <w:top w:w="0" w:type="dxa"/>
          <w:left w:w="108" w:type="dxa"/>
          <w:bottom w:w="0" w:type="dxa"/>
          <w:right w:w="108" w:type="dxa"/>
        </w:tblCellMar>
      </w:tblPr>
      <w:tblGrid>
        <w:gridCol w:w="711"/>
        <w:gridCol w:w="963"/>
        <w:gridCol w:w="1092"/>
        <w:gridCol w:w="718"/>
        <w:gridCol w:w="1114"/>
        <w:gridCol w:w="279"/>
        <w:gridCol w:w="1160"/>
        <w:gridCol w:w="1310"/>
        <w:gridCol w:w="722"/>
        <w:gridCol w:w="882"/>
        <w:gridCol w:w="680"/>
        <w:gridCol w:w="20"/>
      </w:tblGrid>
      <w:tr>
        <w:tblPrEx>
          <w:tblCellMar>
            <w:top w:w="0" w:type="dxa"/>
            <w:left w:w="108" w:type="dxa"/>
            <w:bottom w:w="0" w:type="dxa"/>
            <w:right w:w="108" w:type="dxa"/>
          </w:tblCellMar>
        </w:tblPrEx>
        <w:trPr>
          <w:trHeight w:val="440" w:hRule="exact"/>
          <w:jc w:val="center"/>
        </w:trPr>
        <w:tc>
          <w:tcPr>
            <w:tcW w:w="9651" w:type="dxa"/>
            <w:gridSpan w:val="12"/>
            <w:tcBorders>
              <w:top w:val="nil"/>
              <w:left w:val="nil"/>
              <w:bottom w:val="nil"/>
              <w:right w:val="nil"/>
            </w:tcBorders>
            <w:vAlign w:val="center"/>
          </w:tcPr>
          <w:p>
            <w:pPr>
              <w:jc w:val="center"/>
            </w:pPr>
            <w:r>
              <w:rPr>
                <w:sz w:val="21"/>
              </w:rPr>
              <w:pict>
                <v:shape id="_x0000_s1026" o:spid="_x0000_s1026" o:spt="201" type="#_x0000_t201" style="position:absolute;left:0pt;margin-left:48.75pt;margin-top:6.75pt;height:116.25pt;width:112.5pt;z-index:-251658240;mso-width-relative:page;mso-height-relative:page;" o:ole="t" filled="f" o:preferrelative="t" stroked="f" coordsize="21600,21600">
                  <v:path/>
                  <v:fill on="f" focussize="0,0"/>
                  <v:stroke on="f"/>
                  <v:imagedata r:id="rId5" o:title=""/>
                  <o:lock v:ext="edit" aspectratio="f"/>
                  <w10:anchorlock/>
                </v:shape>
                <w:control r:id="rId4" w:name="BJCAWordSign1" w:shapeid="_x0000_s1026"/>
              </w:pict>
            </w:r>
            <w:r>
              <w:rPr>
                <w:rFonts w:hint="eastAsia"/>
                <w:b/>
                <w:bCs/>
              </w:rPr>
              <w:t>项目支出绩效自评表</w:t>
            </w:r>
          </w:p>
        </w:tc>
      </w:tr>
      <w:tr>
        <w:tblPrEx>
          <w:tblCellMar>
            <w:top w:w="0" w:type="dxa"/>
            <w:left w:w="108" w:type="dxa"/>
            <w:bottom w:w="0" w:type="dxa"/>
            <w:right w:w="108" w:type="dxa"/>
          </w:tblCellMar>
        </w:tblPrEx>
        <w:trPr>
          <w:trHeight w:val="194" w:hRule="atLeast"/>
          <w:jc w:val="center"/>
        </w:trPr>
        <w:tc>
          <w:tcPr>
            <w:tcW w:w="9651" w:type="dxa"/>
            <w:gridSpan w:val="12"/>
            <w:tcBorders>
              <w:top w:val="nil"/>
              <w:left w:val="nil"/>
              <w:bottom w:val="nil"/>
              <w:right w:val="nil"/>
            </w:tcBorders>
          </w:tcPr>
          <w:p>
            <w:pPr>
              <w:jc w:val="center"/>
            </w:pPr>
            <w:r>
              <w:rPr>
                <w:rFonts w:hint="eastAsia"/>
              </w:rPr>
              <w:t>（</w:t>
            </w:r>
            <w:r>
              <w:rPr>
                <w:rFonts w:hint="eastAsia"/>
                <w:lang w:val="en-US" w:eastAsia="zh-CN"/>
              </w:rPr>
              <w:t>2024</w:t>
            </w:r>
            <w:r>
              <w:rPr>
                <w:rFonts w:hint="eastAsia"/>
              </w:rPr>
              <w:t>年度）</w:t>
            </w:r>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项目名称</w:t>
            </w:r>
          </w:p>
        </w:tc>
        <w:tc>
          <w:tcPr>
            <w:tcW w:w="7977" w:type="dxa"/>
            <w:gridSpan w:val="10"/>
            <w:tcBorders>
              <w:top w:val="single" w:color="auto" w:sz="4" w:space="0"/>
              <w:left w:val="nil"/>
              <w:bottom w:val="single" w:color="auto" w:sz="4" w:space="0"/>
              <w:right w:val="single" w:color="auto" w:sz="4" w:space="0"/>
            </w:tcBorders>
            <w:vAlign w:val="center"/>
          </w:tcPr>
          <w:p>
            <w:bookmarkStart w:id="0" w:name="OLE_LINK1"/>
            <w:r>
              <w:rPr>
                <w:rFonts w:hint="eastAsia"/>
                <w:lang w:eastAsia="zh-CN"/>
              </w:rPr>
              <w:t>地区公共文化场馆运营经费</w:t>
            </w:r>
            <w:bookmarkEnd w:id="0"/>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主管部门</w:t>
            </w:r>
          </w:p>
        </w:tc>
        <w:tc>
          <w:tcPr>
            <w:tcW w:w="4363" w:type="dxa"/>
            <w:gridSpan w:val="5"/>
            <w:tcBorders>
              <w:top w:val="single" w:color="auto" w:sz="4" w:space="0"/>
              <w:left w:val="nil"/>
              <w:bottom w:val="single" w:color="auto" w:sz="4" w:space="0"/>
              <w:right w:val="single" w:color="auto" w:sz="4" w:space="0"/>
            </w:tcBorders>
            <w:vAlign w:val="center"/>
          </w:tcPr>
          <w:p>
            <w:r>
              <w:rPr>
                <w:rFonts w:hint="eastAsia"/>
                <w:lang w:val="en-US" w:eastAsia="zh-CN"/>
              </w:rPr>
              <w:t>白纸坊街道</w:t>
            </w:r>
          </w:p>
        </w:tc>
        <w:tc>
          <w:tcPr>
            <w:tcW w:w="1310" w:type="dxa"/>
            <w:tcBorders>
              <w:top w:val="nil"/>
              <w:left w:val="nil"/>
              <w:bottom w:val="single" w:color="auto" w:sz="4" w:space="0"/>
              <w:right w:val="single" w:color="auto" w:sz="4" w:space="0"/>
            </w:tcBorders>
            <w:vAlign w:val="center"/>
          </w:tcPr>
          <w:p>
            <w:r>
              <w:rPr>
                <w:rFonts w:hint="eastAsia"/>
              </w:rPr>
              <w:t>实施单位</w:t>
            </w:r>
          </w:p>
        </w:tc>
        <w:tc>
          <w:tcPr>
            <w:tcW w:w="2304" w:type="dxa"/>
            <w:gridSpan w:val="4"/>
            <w:tcBorders>
              <w:top w:val="single" w:color="auto" w:sz="4" w:space="0"/>
              <w:left w:val="nil"/>
              <w:bottom w:val="single" w:color="auto" w:sz="4" w:space="0"/>
              <w:right w:val="single" w:color="auto" w:sz="4" w:space="0"/>
            </w:tcBorders>
            <w:vAlign w:val="center"/>
          </w:tcPr>
          <w:p>
            <w:r>
              <w:rPr>
                <w:rFonts w:hint="eastAsia"/>
                <w:lang w:eastAsia="zh-CN"/>
              </w:rPr>
              <w:t>白纸坊街道社区建设</w:t>
            </w:r>
          </w:p>
        </w:tc>
      </w:tr>
      <w:tr>
        <w:tblPrEx>
          <w:tblCellMar>
            <w:top w:w="0" w:type="dxa"/>
            <w:left w:w="108" w:type="dxa"/>
            <w:bottom w:w="0" w:type="dxa"/>
            <w:right w:w="108" w:type="dxa"/>
          </w:tblCellMar>
        </w:tblPrEx>
        <w:trPr>
          <w:trHeight w:val="291" w:hRule="exact"/>
          <w:jc w:val="center"/>
        </w:trPr>
        <w:tc>
          <w:tcPr>
            <w:tcW w:w="167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w:t>
            </w:r>
            <w:r>
              <w:t>负责人</w:t>
            </w:r>
          </w:p>
        </w:tc>
        <w:tc>
          <w:tcPr>
            <w:tcW w:w="4363" w:type="dxa"/>
            <w:gridSpan w:val="5"/>
            <w:tcBorders>
              <w:top w:val="single" w:color="auto" w:sz="4" w:space="0"/>
              <w:left w:val="nil"/>
              <w:bottom w:val="single" w:color="auto" w:sz="4" w:space="0"/>
              <w:right w:val="single" w:color="auto" w:sz="4" w:space="0"/>
            </w:tcBorders>
            <w:vAlign w:val="center"/>
          </w:tcPr>
          <w:p>
            <w:pPr>
              <w:rPr>
                <w:rFonts w:hint="eastAsia" w:eastAsiaTheme="minorEastAsia"/>
                <w:lang w:eastAsia="zh-CN"/>
              </w:rPr>
            </w:pPr>
          </w:p>
        </w:tc>
        <w:tc>
          <w:tcPr>
            <w:tcW w:w="1310" w:type="dxa"/>
            <w:tcBorders>
              <w:top w:val="nil"/>
              <w:left w:val="nil"/>
              <w:bottom w:val="single" w:color="auto" w:sz="4" w:space="0"/>
              <w:right w:val="single" w:color="auto" w:sz="4" w:space="0"/>
            </w:tcBorders>
            <w:vAlign w:val="center"/>
          </w:tcPr>
          <w:p>
            <w:r>
              <w:t>联系电话</w:t>
            </w:r>
          </w:p>
        </w:tc>
        <w:tc>
          <w:tcPr>
            <w:tcW w:w="2304" w:type="dxa"/>
            <w:gridSpan w:val="4"/>
            <w:tcBorders>
              <w:top w:val="single" w:color="auto" w:sz="4" w:space="0"/>
              <w:left w:val="nil"/>
              <w:bottom w:val="single" w:color="auto" w:sz="4" w:space="0"/>
              <w:right w:val="single" w:color="auto" w:sz="4" w:space="0"/>
            </w:tcBorders>
            <w:vAlign w:val="center"/>
          </w:tcPr>
          <w:p>
            <w:pPr>
              <w:rPr>
                <w:rFonts w:hint="default"/>
                <w:lang w:val="en-US"/>
              </w:rPr>
            </w:pPr>
            <w:bookmarkStart w:id="1" w:name="_GoBack"/>
            <w:bookmarkEnd w:id="1"/>
          </w:p>
        </w:tc>
      </w:tr>
      <w:tr>
        <w:tblPrEx>
          <w:tblCellMar>
            <w:top w:w="0" w:type="dxa"/>
            <w:left w:w="108" w:type="dxa"/>
            <w:bottom w:w="0" w:type="dxa"/>
            <w:right w:w="108" w:type="dxa"/>
          </w:tblCellMar>
        </w:tblPrEx>
        <w:trPr>
          <w:trHeight w:val="291" w:hRule="exact"/>
          <w:jc w:val="center"/>
        </w:trPr>
        <w:tc>
          <w:tcPr>
            <w:tcW w:w="1674" w:type="dxa"/>
            <w:gridSpan w:val="2"/>
            <w:vMerge w:val="restart"/>
            <w:tcBorders>
              <w:top w:val="single" w:color="auto" w:sz="4" w:space="0"/>
              <w:left w:val="single" w:color="auto" w:sz="4" w:space="0"/>
              <w:bottom w:val="single" w:color="auto" w:sz="4" w:space="0"/>
              <w:right w:val="single" w:color="auto" w:sz="4" w:space="0"/>
            </w:tcBorders>
            <w:vAlign w:val="center"/>
          </w:tcPr>
          <w:p>
            <w:r>
              <w:rPr>
                <w:rFonts w:hint="eastAsia"/>
              </w:rPr>
              <w:t>项目资金</w:t>
            </w:r>
            <w:r>
              <w:rPr>
                <w:rFonts w:hint="eastAsia"/>
              </w:rPr>
              <w:br w:type="textWrapping"/>
            </w:r>
            <w:r>
              <w:rPr>
                <w:rFonts w:hint="eastAsia"/>
              </w:rPr>
              <w:t>（万元）</w:t>
            </w:r>
          </w:p>
        </w:tc>
        <w:tc>
          <w:tcPr>
            <w:tcW w:w="1810" w:type="dxa"/>
            <w:gridSpan w:val="2"/>
            <w:tcBorders>
              <w:top w:val="single" w:color="auto" w:sz="4" w:space="0"/>
              <w:left w:val="nil"/>
              <w:bottom w:val="single" w:color="auto" w:sz="4" w:space="0"/>
              <w:right w:val="single" w:color="auto" w:sz="4" w:space="0"/>
            </w:tcBorders>
            <w:vAlign w:val="center"/>
          </w:tcPr>
          <w:p/>
        </w:tc>
        <w:tc>
          <w:tcPr>
            <w:tcW w:w="1114" w:type="dxa"/>
            <w:tcBorders>
              <w:top w:val="nil"/>
              <w:left w:val="nil"/>
              <w:bottom w:val="single" w:color="auto" w:sz="4" w:space="0"/>
              <w:right w:val="single" w:color="auto" w:sz="4" w:space="0"/>
            </w:tcBorders>
            <w:vAlign w:val="center"/>
          </w:tcPr>
          <w:p>
            <w:r>
              <w:rPr>
                <w:rFonts w:hint="eastAsia"/>
              </w:rPr>
              <w:t>年初预算数</w:t>
            </w:r>
          </w:p>
        </w:tc>
        <w:tc>
          <w:tcPr>
            <w:tcW w:w="1439" w:type="dxa"/>
            <w:gridSpan w:val="2"/>
            <w:tcBorders>
              <w:top w:val="nil"/>
              <w:left w:val="nil"/>
              <w:bottom w:val="single" w:color="auto" w:sz="4" w:space="0"/>
              <w:right w:val="single" w:color="auto" w:sz="4" w:space="0"/>
            </w:tcBorders>
            <w:vAlign w:val="center"/>
          </w:tcPr>
          <w:p>
            <w:r>
              <w:rPr>
                <w:rFonts w:hint="eastAsia"/>
              </w:rPr>
              <w:t>全年预算数</w:t>
            </w:r>
          </w:p>
        </w:tc>
        <w:tc>
          <w:tcPr>
            <w:tcW w:w="1310" w:type="dxa"/>
            <w:tcBorders>
              <w:top w:val="nil"/>
              <w:left w:val="nil"/>
              <w:bottom w:val="single" w:color="auto" w:sz="4" w:space="0"/>
              <w:right w:val="single" w:color="auto" w:sz="4" w:space="0"/>
            </w:tcBorders>
            <w:vAlign w:val="center"/>
          </w:tcPr>
          <w:p>
            <w:r>
              <w:rPr>
                <w:rFonts w:hint="eastAsia"/>
              </w:rPr>
              <w:t>全年执行数</w:t>
            </w:r>
          </w:p>
        </w:tc>
        <w:tc>
          <w:tcPr>
            <w:tcW w:w="722" w:type="dxa"/>
            <w:tcBorders>
              <w:top w:val="nil"/>
              <w:left w:val="nil"/>
              <w:bottom w:val="single" w:color="auto" w:sz="4" w:space="0"/>
              <w:right w:val="single" w:color="auto" w:sz="4" w:space="0"/>
            </w:tcBorders>
            <w:vAlign w:val="center"/>
          </w:tcPr>
          <w:p>
            <w:r>
              <w:rPr>
                <w:rFonts w:hint="eastAsia"/>
              </w:rPr>
              <w:t>分值</w:t>
            </w:r>
          </w:p>
        </w:tc>
        <w:tc>
          <w:tcPr>
            <w:tcW w:w="882" w:type="dxa"/>
            <w:tcBorders>
              <w:top w:val="single" w:color="auto" w:sz="4" w:space="0"/>
              <w:left w:val="nil"/>
              <w:bottom w:val="single" w:color="auto" w:sz="4" w:space="0"/>
              <w:right w:val="single" w:color="auto" w:sz="4" w:space="0"/>
            </w:tcBorders>
            <w:vAlign w:val="center"/>
          </w:tcPr>
          <w:p>
            <w:r>
              <w:rPr>
                <w:rFonts w:hint="eastAsia"/>
              </w:rPr>
              <w:t>执行率</w:t>
            </w:r>
          </w:p>
        </w:tc>
        <w:tc>
          <w:tcPr>
            <w:tcW w:w="700" w:type="dxa"/>
            <w:gridSpan w:val="2"/>
            <w:tcBorders>
              <w:top w:val="nil"/>
              <w:left w:val="nil"/>
              <w:bottom w:val="single" w:color="auto" w:sz="4" w:space="0"/>
              <w:right w:val="single" w:color="auto" w:sz="4" w:space="0"/>
            </w:tcBorders>
            <w:vAlign w:val="center"/>
          </w:tcPr>
          <w:p>
            <w:r>
              <w:rPr>
                <w:rFonts w:hint="eastAsia"/>
              </w:rPr>
              <w:t>得分</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年度资金总额</w:t>
            </w:r>
          </w:p>
        </w:tc>
        <w:tc>
          <w:tcPr>
            <w:tcW w:w="1114" w:type="dxa"/>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107.9</w:t>
            </w:r>
          </w:p>
        </w:tc>
        <w:tc>
          <w:tcPr>
            <w:tcW w:w="1439" w:type="dxa"/>
            <w:gridSpan w:val="2"/>
            <w:tcBorders>
              <w:top w:val="nil"/>
              <w:left w:val="nil"/>
              <w:bottom w:val="single" w:color="auto" w:sz="4" w:space="0"/>
              <w:right w:val="single" w:color="auto" w:sz="4" w:space="0"/>
            </w:tcBorders>
            <w:vAlign w:val="center"/>
          </w:tcPr>
          <w:p>
            <w:pPr>
              <w:jc w:val="both"/>
              <w:rPr>
                <w:rFonts w:hint="default" w:eastAsiaTheme="minorEastAsia"/>
                <w:lang w:val="en-US" w:eastAsia="zh-CN"/>
              </w:rPr>
            </w:pPr>
            <w:r>
              <w:rPr>
                <w:rFonts w:hint="eastAsia"/>
                <w:lang w:val="en-US" w:eastAsia="zh-CN"/>
              </w:rPr>
              <w:t>92.24</w:t>
            </w:r>
          </w:p>
        </w:tc>
        <w:tc>
          <w:tcPr>
            <w:tcW w:w="1310" w:type="dxa"/>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92.24</w:t>
            </w:r>
          </w:p>
        </w:tc>
        <w:tc>
          <w:tcPr>
            <w:tcW w:w="722" w:type="dxa"/>
            <w:tcBorders>
              <w:top w:val="nil"/>
              <w:left w:val="nil"/>
              <w:bottom w:val="single" w:color="auto" w:sz="4" w:space="0"/>
              <w:right w:val="single" w:color="auto" w:sz="4" w:space="0"/>
            </w:tcBorders>
            <w:vAlign w:val="center"/>
          </w:tcPr>
          <w:p>
            <w:r>
              <w:rPr>
                <w:rFonts w:hint="eastAsia"/>
              </w:rPr>
              <w:t>10</w:t>
            </w:r>
          </w:p>
        </w:tc>
        <w:tc>
          <w:tcPr>
            <w:tcW w:w="882" w:type="dxa"/>
            <w:tcBorders>
              <w:top w:val="single" w:color="auto" w:sz="4" w:space="0"/>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100</w:t>
            </w:r>
            <w:r>
              <w:rPr>
                <w:rFonts w:hint="default" w:ascii="Arial" w:hAnsi="Arial" w:cs="Arial"/>
                <w:lang w:val="en-US" w:eastAsia="zh-CN"/>
              </w:rPr>
              <w:t>％</w:t>
            </w:r>
          </w:p>
        </w:tc>
        <w:tc>
          <w:tcPr>
            <w:tcW w:w="700" w:type="dxa"/>
            <w:gridSpan w:val="2"/>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其中：当年财政拨款</w:t>
            </w:r>
          </w:p>
        </w:tc>
        <w:tc>
          <w:tcPr>
            <w:tcW w:w="1114" w:type="dxa"/>
            <w:tcBorders>
              <w:top w:val="nil"/>
              <w:left w:val="nil"/>
              <w:bottom w:val="single" w:color="auto" w:sz="4" w:space="0"/>
              <w:right w:val="single" w:color="auto" w:sz="4" w:space="0"/>
            </w:tcBorders>
            <w:shd w:val="clear" w:color="auto" w:fill="auto"/>
            <w:vAlign w:val="center"/>
          </w:tcPr>
          <w:p>
            <w:pPr>
              <w:rPr>
                <w:rFonts w:hint="default" w:asciiTheme="minorHAnsi" w:hAnsiTheme="minorHAnsi" w:eastAsiaTheme="minorEastAsia" w:cstheme="minorBidi"/>
                <w:kern w:val="2"/>
                <w:sz w:val="21"/>
                <w:szCs w:val="22"/>
                <w:lang w:val="en-US" w:eastAsia="zh-CN" w:bidi="ar-SA"/>
              </w:rPr>
            </w:pPr>
            <w:r>
              <w:rPr>
                <w:rFonts w:hint="eastAsia"/>
                <w:lang w:val="en-US" w:eastAsia="zh-CN"/>
              </w:rPr>
              <w:t>107.9</w:t>
            </w:r>
          </w:p>
        </w:tc>
        <w:tc>
          <w:tcPr>
            <w:tcW w:w="1439" w:type="dxa"/>
            <w:gridSpan w:val="2"/>
            <w:tcBorders>
              <w:top w:val="nil"/>
              <w:left w:val="nil"/>
              <w:bottom w:val="single" w:color="auto" w:sz="4" w:space="0"/>
              <w:right w:val="single" w:color="auto" w:sz="4" w:space="0"/>
            </w:tcBorders>
            <w:shd w:val="clear" w:color="auto" w:fill="auto"/>
            <w:vAlign w:val="center"/>
          </w:tcPr>
          <w:p>
            <w:pPr>
              <w:jc w:val="both"/>
              <w:rPr>
                <w:rFonts w:hint="default" w:asciiTheme="minorHAnsi" w:hAnsiTheme="minorHAnsi" w:eastAsiaTheme="minorEastAsia" w:cstheme="minorBidi"/>
                <w:kern w:val="2"/>
                <w:sz w:val="21"/>
                <w:szCs w:val="22"/>
                <w:lang w:val="en-US" w:eastAsia="zh-CN" w:bidi="ar-SA"/>
              </w:rPr>
            </w:pPr>
            <w:r>
              <w:rPr>
                <w:rFonts w:hint="eastAsia"/>
                <w:lang w:val="en-US" w:eastAsia="zh-CN"/>
              </w:rPr>
              <w:t>92.24</w:t>
            </w:r>
          </w:p>
        </w:tc>
        <w:tc>
          <w:tcPr>
            <w:tcW w:w="1310" w:type="dxa"/>
            <w:tcBorders>
              <w:top w:val="nil"/>
              <w:left w:val="nil"/>
              <w:bottom w:val="single" w:color="auto" w:sz="4" w:space="0"/>
              <w:right w:val="single" w:color="auto" w:sz="4" w:space="0"/>
            </w:tcBorders>
            <w:shd w:val="clear" w:color="auto" w:fill="auto"/>
            <w:vAlign w:val="center"/>
          </w:tcPr>
          <w:p>
            <w:pPr>
              <w:rPr>
                <w:rFonts w:hint="default" w:asciiTheme="minorHAnsi" w:hAnsiTheme="minorHAnsi" w:eastAsiaTheme="minorEastAsia" w:cstheme="minorBidi"/>
                <w:kern w:val="2"/>
                <w:sz w:val="21"/>
                <w:szCs w:val="22"/>
                <w:lang w:val="en-US" w:eastAsia="zh-CN" w:bidi="ar-SA"/>
              </w:rPr>
            </w:pPr>
            <w:r>
              <w:rPr>
                <w:rFonts w:hint="eastAsia"/>
                <w:lang w:val="en-US" w:eastAsia="zh-CN"/>
              </w:rPr>
              <w:t>92.24</w:t>
            </w:r>
          </w:p>
        </w:tc>
        <w:tc>
          <w:tcPr>
            <w:tcW w:w="722" w:type="dxa"/>
            <w:tcBorders>
              <w:top w:val="nil"/>
              <w:left w:val="nil"/>
              <w:bottom w:val="single" w:color="auto" w:sz="4" w:space="0"/>
              <w:right w:val="single" w:color="auto" w:sz="4" w:space="0"/>
            </w:tcBorders>
            <w:vAlign w:val="center"/>
          </w:tcPr>
          <w:p>
            <w:r>
              <w:rPr>
                <w:rFonts w:hint="eastAsia"/>
              </w:rPr>
              <w:t>—</w:t>
            </w:r>
          </w:p>
        </w:tc>
        <w:tc>
          <w:tcPr>
            <w:tcW w:w="882" w:type="dxa"/>
            <w:tcBorders>
              <w:top w:val="single" w:color="auto" w:sz="4" w:space="0"/>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100%</w:t>
            </w:r>
          </w:p>
        </w:tc>
        <w:tc>
          <w:tcPr>
            <w:tcW w:w="700" w:type="dxa"/>
            <w:gridSpan w:val="2"/>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上年结转资金</w:t>
            </w:r>
          </w:p>
        </w:tc>
        <w:tc>
          <w:tcPr>
            <w:tcW w:w="1114" w:type="dxa"/>
            <w:tcBorders>
              <w:top w:val="nil"/>
              <w:left w:val="nil"/>
              <w:bottom w:val="single" w:color="auto" w:sz="4" w:space="0"/>
              <w:right w:val="single" w:color="auto" w:sz="4" w:space="0"/>
            </w:tcBorders>
            <w:vAlign w:val="center"/>
          </w:tcPr>
          <w:p/>
        </w:tc>
        <w:tc>
          <w:tcPr>
            <w:tcW w:w="1439" w:type="dxa"/>
            <w:gridSpan w:val="2"/>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tc>
        <w:tc>
          <w:tcPr>
            <w:tcW w:w="722" w:type="dxa"/>
            <w:tcBorders>
              <w:top w:val="nil"/>
              <w:left w:val="nil"/>
              <w:bottom w:val="single" w:color="auto" w:sz="4" w:space="0"/>
              <w:right w:val="single" w:color="auto" w:sz="4" w:space="0"/>
            </w:tcBorders>
            <w:vAlign w:val="center"/>
          </w:tcPr>
          <w:p>
            <w:r>
              <w:rPr>
                <w:rFonts w:hint="eastAsia"/>
              </w:rPr>
              <w:t>—</w:t>
            </w:r>
          </w:p>
        </w:tc>
        <w:tc>
          <w:tcPr>
            <w:tcW w:w="882" w:type="dxa"/>
            <w:tcBorders>
              <w:top w:val="single" w:color="auto" w:sz="4" w:space="0"/>
              <w:left w:val="nil"/>
              <w:bottom w:val="single" w:color="auto" w:sz="4" w:space="0"/>
              <w:right w:val="single" w:color="auto" w:sz="4" w:space="0"/>
            </w:tcBorders>
            <w:vAlign w:val="center"/>
          </w:tcPr>
          <w:p/>
        </w:tc>
        <w:tc>
          <w:tcPr>
            <w:tcW w:w="700" w:type="dxa"/>
            <w:gridSpan w:val="2"/>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67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其他资金</w:t>
            </w:r>
          </w:p>
        </w:tc>
        <w:tc>
          <w:tcPr>
            <w:tcW w:w="1114" w:type="dxa"/>
            <w:tcBorders>
              <w:top w:val="nil"/>
              <w:left w:val="nil"/>
              <w:bottom w:val="single" w:color="auto" w:sz="4" w:space="0"/>
              <w:right w:val="single" w:color="auto" w:sz="4" w:space="0"/>
            </w:tcBorders>
            <w:vAlign w:val="center"/>
          </w:tcPr>
          <w:p/>
        </w:tc>
        <w:tc>
          <w:tcPr>
            <w:tcW w:w="1439" w:type="dxa"/>
            <w:gridSpan w:val="2"/>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tc>
        <w:tc>
          <w:tcPr>
            <w:tcW w:w="722" w:type="dxa"/>
            <w:tcBorders>
              <w:top w:val="nil"/>
              <w:left w:val="nil"/>
              <w:bottom w:val="single" w:color="auto" w:sz="4" w:space="0"/>
              <w:right w:val="single" w:color="auto" w:sz="4" w:space="0"/>
            </w:tcBorders>
            <w:vAlign w:val="center"/>
          </w:tcPr>
          <w:p>
            <w:r>
              <w:rPr>
                <w:rFonts w:hint="eastAsia"/>
              </w:rPr>
              <w:t>—</w:t>
            </w:r>
          </w:p>
        </w:tc>
        <w:tc>
          <w:tcPr>
            <w:tcW w:w="882" w:type="dxa"/>
            <w:tcBorders>
              <w:top w:val="single" w:color="auto" w:sz="4" w:space="0"/>
              <w:left w:val="nil"/>
              <w:bottom w:val="single" w:color="auto" w:sz="4" w:space="0"/>
              <w:right w:val="single" w:color="auto" w:sz="4" w:space="0"/>
            </w:tcBorders>
            <w:vAlign w:val="center"/>
          </w:tcPr>
          <w:p/>
        </w:tc>
        <w:tc>
          <w:tcPr>
            <w:tcW w:w="700" w:type="dxa"/>
            <w:gridSpan w:val="2"/>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711" w:type="dxa"/>
            <w:vMerge w:val="restart"/>
            <w:tcBorders>
              <w:top w:val="nil"/>
              <w:left w:val="single" w:color="auto" w:sz="4" w:space="0"/>
              <w:bottom w:val="single" w:color="auto" w:sz="4" w:space="0"/>
              <w:right w:val="single" w:color="auto" w:sz="4" w:space="0"/>
            </w:tcBorders>
            <w:vAlign w:val="center"/>
          </w:tcPr>
          <w:p>
            <w:r>
              <w:rPr>
                <w:rFonts w:hint="eastAsia"/>
              </w:rPr>
              <w:t>年度总体目标</w:t>
            </w:r>
          </w:p>
        </w:tc>
        <w:tc>
          <w:tcPr>
            <w:tcW w:w="5326" w:type="dxa"/>
            <w:gridSpan w:val="6"/>
            <w:tcBorders>
              <w:top w:val="single" w:color="auto" w:sz="4" w:space="0"/>
              <w:left w:val="nil"/>
              <w:bottom w:val="single" w:color="auto" w:sz="4" w:space="0"/>
              <w:right w:val="single" w:color="auto" w:sz="4" w:space="0"/>
            </w:tcBorders>
            <w:vAlign w:val="center"/>
          </w:tcPr>
          <w:p>
            <w:r>
              <w:rPr>
                <w:rFonts w:hint="eastAsia"/>
              </w:rPr>
              <w:t>预期目标</w:t>
            </w:r>
          </w:p>
        </w:tc>
        <w:tc>
          <w:tcPr>
            <w:tcW w:w="3614" w:type="dxa"/>
            <w:gridSpan w:val="5"/>
            <w:tcBorders>
              <w:top w:val="single" w:color="auto" w:sz="4" w:space="0"/>
              <w:left w:val="nil"/>
              <w:bottom w:val="single" w:color="auto" w:sz="4" w:space="0"/>
              <w:right w:val="single" w:color="auto" w:sz="4" w:space="0"/>
            </w:tcBorders>
            <w:vAlign w:val="center"/>
          </w:tcPr>
          <w:p>
            <w:r>
              <w:rPr>
                <w:rFonts w:hint="eastAsia"/>
              </w:rPr>
              <w:t>实际完成情况</w:t>
            </w:r>
          </w:p>
        </w:tc>
      </w:tr>
      <w:tr>
        <w:tblPrEx>
          <w:tblCellMar>
            <w:top w:w="0" w:type="dxa"/>
            <w:left w:w="108" w:type="dxa"/>
            <w:bottom w:w="0" w:type="dxa"/>
            <w:right w:w="108" w:type="dxa"/>
          </w:tblCellMar>
        </w:tblPrEx>
        <w:trPr>
          <w:trHeight w:val="2394" w:hRule="exact"/>
          <w:jc w:val="center"/>
        </w:trPr>
        <w:tc>
          <w:tcPr>
            <w:tcW w:w="711" w:type="dxa"/>
            <w:vMerge w:val="continue"/>
            <w:tcBorders>
              <w:top w:val="nil"/>
              <w:left w:val="single" w:color="auto" w:sz="4" w:space="0"/>
              <w:bottom w:val="single" w:color="auto" w:sz="4" w:space="0"/>
              <w:right w:val="single" w:color="auto" w:sz="4" w:space="0"/>
            </w:tcBorders>
            <w:vAlign w:val="center"/>
          </w:tcPr>
          <w:p/>
        </w:tc>
        <w:tc>
          <w:tcPr>
            <w:tcW w:w="5326" w:type="dxa"/>
            <w:gridSpan w:val="6"/>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20"/>
                <w:szCs w:val="20"/>
                <w:lang w:eastAsia="zh-CN"/>
              </w:rPr>
              <w:t>通过与相关机构合作购买服务，改善市民中心、科普教育基地以及地区图书馆的运营管理，使得其运行达到制度化、规范化，从而更科学、更合理、更丰富地服务地区居民，更好得为辖区居民提供良好的活动环境和活动氛围，并保证活动人员的安全性。白纸坊街道物业之家是白纸坊街道创新性工作，为辖区居民，地区物业企业在管理、服务、交流工作中提供的一个综合性的平台，物业之家分为物业议事厅、物业展厅、辖区物业会客室及物业管理站等多种职能，希望利用物业之家为辖区居民及物业企业做好共治共建的物业服务工作，提升居民满意度和幸福感。</w:t>
            </w:r>
          </w:p>
        </w:tc>
        <w:tc>
          <w:tcPr>
            <w:tcW w:w="3614" w:type="dxa"/>
            <w:gridSpan w:val="5"/>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18"/>
                <w:szCs w:val="18"/>
                <w:lang w:val="en-US" w:eastAsia="zh-CN"/>
              </w:rPr>
              <w:t>100%完成</w:t>
            </w:r>
          </w:p>
        </w:tc>
      </w:tr>
      <w:tr>
        <w:tblPrEx>
          <w:tblCellMar>
            <w:top w:w="0" w:type="dxa"/>
            <w:left w:w="108" w:type="dxa"/>
            <w:bottom w:w="0" w:type="dxa"/>
            <w:right w:w="108" w:type="dxa"/>
          </w:tblCellMar>
        </w:tblPrEx>
        <w:trPr>
          <w:gridAfter w:val="1"/>
          <w:wAfter w:w="20" w:type="dxa"/>
          <w:trHeight w:val="1447" w:hRule="exact"/>
          <w:jc w:val="center"/>
        </w:trPr>
        <w:tc>
          <w:tcPr>
            <w:tcW w:w="711" w:type="dxa"/>
            <w:vMerge w:val="restart"/>
            <w:tcBorders>
              <w:top w:val="nil"/>
              <w:left w:val="single" w:color="auto" w:sz="4" w:space="0"/>
              <w:right w:val="single" w:color="auto" w:sz="4" w:space="0"/>
            </w:tcBorders>
            <w:vAlign w:val="center"/>
          </w:tcPr>
          <w:p>
            <w:r>
              <w:rPr>
                <w:rFonts w:hint="eastAsia"/>
              </w:rPr>
              <w:t>绩</w:t>
            </w:r>
            <w:r>
              <w:rPr>
                <w:rFonts w:hint="eastAsia"/>
              </w:rPr>
              <w:br w:type="textWrapping"/>
            </w:r>
            <w:r>
              <w:rPr>
                <w:rFonts w:hint="eastAsia"/>
              </w:rPr>
              <w:t>效</w:t>
            </w:r>
            <w:r>
              <w:rPr>
                <w:rFonts w:hint="eastAsia"/>
              </w:rPr>
              <w:br w:type="textWrapping"/>
            </w:r>
            <w:r>
              <w:rPr>
                <w:rFonts w:hint="eastAsia"/>
              </w:rPr>
              <w:t>指</w:t>
            </w:r>
            <w:r>
              <w:rPr>
                <w:rFonts w:hint="eastAsia"/>
              </w:rPr>
              <w:br w:type="textWrapping"/>
            </w:r>
            <w:r>
              <w:rPr>
                <w:rFonts w:hint="eastAsia"/>
              </w:rPr>
              <w:t>标</w:t>
            </w:r>
          </w:p>
        </w:tc>
        <w:tc>
          <w:tcPr>
            <w:tcW w:w="963" w:type="dxa"/>
            <w:tcBorders>
              <w:top w:val="nil"/>
              <w:left w:val="nil"/>
              <w:bottom w:val="single" w:color="auto" w:sz="4" w:space="0"/>
              <w:right w:val="single" w:color="auto" w:sz="4" w:space="0"/>
            </w:tcBorders>
            <w:vAlign w:val="center"/>
          </w:tcPr>
          <w:p>
            <w:r>
              <w:rPr>
                <w:rFonts w:hint="eastAsia"/>
              </w:rPr>
              <w:t>一级指标</w:t>
            </w:r>
          </w:p>
        </w:tc>
        <w:tc>
          <w:tcPr>
            <w:tcW w:w="1092" w:type="dxa"/>
            <w:tcBorders>
              <w:top w:val="nil"/>
              <w:left w:val="nil"/>
              <w:bottom w:val="single" w:color="auto" w:sz="4" w:space="0"/>
              <w:right w:val="single" w:color="auto" w:sz="4" w:space="0"/>
            </w:tcBorders>
            <w:vAlign w:val="center"/>
          </w:tcPr>
          <w:p>
            <w:r>
              <w:rPr>
                <w:rFonts w:hint="eastAsia"/>
              </w:rPr>
              <w:t>二级指标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三级指标</w:t>
            </w:r>
          </w:p>
        </w:tc>
        <w:tc>
          <w:tcPr>
            <w:tcW w:w="1160" w:type="dxa"/>
            <w:tcBorders>
              <w:top w:val="nil"/>
              <w:left w:val="nil"/>
              <w:bottom w:val="single" w:color="auto" w:sz="4" w:space="0"/>
              <w:right w:val="single" w:color="auto" w:sz="4" w:space="0"/>
            </w:tcBorders>
            <w:vAlign w:val="center"/>
          </w:tcPr>
          <w:p>
            <w:r>
              <w:rPr>
                <w:rFonts w:hint="eastAsia"/>
              </w:rPr>
              <w:t>年度</w:t>
            </w:r>
          </w:p>
          <w:p>
            <w:r>
              <w:rPr>
                <w:rFonts w:hint="eastAsia"/>
              </w:rPr>
              <w:t>指标值</w:t>
            </w:r>
          </w:p>
        </w:tc>
        <w:tc>
          <w:tcPr>
            <w:tcW w:w="1310" w:type="dxa"/>
            <w:tcBorders>
              <w:top w:val="nil"/>
              <w:left w:val="nil"/>
              <w:bottom w:val="single" w:color="auto" w:sz="4" w:space="0"/>
              <w:right w:val="single" w:color="auto" w:sz="4" w:space="0"/>
            </w:tcBorders>
            <w:vAlign w:val="center"/>
          </w:tcPr>
          <w:p>
            <w:r>
              <w:rPr>
                <w:rFonts w:hint="eastAsia"/>
              </w:rPr>
              <w:t>实际</w:t>
            </w:r>
          </w:p>
          <w:p>
            <w:r>
              <w:rPr>
                <w:rFonts w:hint="eastAsia"/>
              </w:rPr>
              <w:t>完成值</w:t>
            </w:r>
          </w:p>
        </w:tc>
        <w:tc>
          <w:tcPr>
            <w:tcW w:w="722" w:type="dxa"/>
            <w:tcBorders>
              <w:top w:val="nil"/>
              <w:left w:val="nil"/>
              <w:bottom w:val="single" w:color="auto" w:sz="4" w:space="0"/>
              <w:right w:val="single" w:color="auto" w:sz="4" w:space="0"/>
            </w:tcBorders>
            <w:vAlign w:val="center"/>
          </w:tcPr>
          <w:p>
            <w:r>
              <w:rPr>
                <w:rFonts w:hint="eastAsia"/>
              </w:rPr>
              <w:t>分值</w:t>
            </w:r>
          </w:p>
        </w:tc>
        <w:tc>
          <w:tcPr>
            <w:tcW w:w="882" w:type="dxa"/>
            <w:tcBorders>
              <w:top w:val="nil"/>
              <w:left w:val="nil"/>
              <w:bottom w:val="single" w:color="auto" w:sz="4" w:space="0"/>
              <w:right w:val="single" w:color="auto" w:sz="4" w:space="0"/>
            </w:tcBorders>
            <w:vAlign w:val="center"/>
          </w:tcPr>
          <w:p>
            <w:r>
              <w:rPr>
                <w:rFonts w:hint="eastAsia"/>
              </w:rPr>
              <w:t>得分</w:t>
            </w:r>
          </w:p>
        </w:tc>
        <w:tc>
          <w:tcPr>
            <w:tcW w:w="680" w:type="dxa"/>
            <w:tcBorders>
              <w:top w:val="single" w:color="auto" w:sz="4" w:space="0"/>
              <w:left w:val="nil"/>
              <w:bottom w:val="single" w:color="auto" w:sz="4" w:space="0"/>
              <w:right w:val="single" w:color="auto" w:sz="4" w:space="0"/>
            </w:tcBorders>
            <w:vAlign w:val="center"/>
          </w:tcPr>
          <w:p>
            <w:r>
              <w:rPr>
                <w:rFonts w:hint="eastAsia"/>
              </w:rPr>
              <w:t>偏差原因分析及改进措施</w:t>
            </w: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产出指标</w:t>
            </w: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数量指标</w:t>
            </w:r>
          </w:p>
        </w:tc>
        <w:tc>
          <w:tcPr>
            <w:tcW w:w="2111" w:type="dxa"/>
            <w:gridSpan w:val="3"/>
            <w:tcBorders>
              <w:top w:val="single" w:color="auto" w:sz="4" w:space="0"/>
              <w:left w:val="nil"/>
              <w:bottom w:val="single" w:color="auto" w:sz="4" w:space="0"/>
              <w:right w:val="single" w:color="auto" w:sz="4" w:space="0"/>
            </w:tcBorders>
            <w:vAlign w:val="center"/>
          </w:tcPr>
          <w:p>
            <w:pPr>
              <w:rPr>
                <w:rFonts w:hint="eastAsia" w:eastAsiaTheme="minorEastAsia"/>
                <w:lang w:eastAsia="zh-CN"/>
              </w:rPr>
            </w:pPr>
            <w:r>
              <w:rPr>
                <w:rFonts w:hint="eastAsia"/>
              </w:rPr>
              <w:t>指标1：</w:t>
            </w:r>
            <w:r>
              <w:rPr>
                <w:rFonts w:hint="eastAsia"/>
                <w:lang w:eastAsia="zh-CN"/>
              </w:rPr>
              <w:t>辖区社区数量</w:t>
            </w:r>
          </w:p>
        </w:tc>
        <w:tc>
          <w:tcPr>
            <w:tcW w:w="1160" w:type="dxa"/>
            <w:tcBorders>
              <w:top w:val="nil"/>
              <w:left w:val="nil"/>
              <w:bottom w:val="single" w:color="auto" w:sz="4" w:space="0"/>
              <w:right w:val="single" w:color="auto" w:sz="4" w:space="0"/>
            </w:tcBorders>
            <w:shd w:val="clear" w:color="auto" w:fill="auto"/>
            <w:vAlign w:val="center"/>
          </w:tcPr>
          <w:p>
            <w:pPr>
              <w:spacing w:line="240" w:lineRule="exact"/>
              <w:jc w:val="both"/>
              <w:rPr>
                <w:rFonts w:hint="default"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bidi="ar-SA"/>
              </w:rPr>
              <w:t>19个</w:t>
            </w:r>
          </w:p>
        </w:tc>
        <w:tc>
          <w:tcPr>
            <w:tcW w:w="1310" w:type="dxa"/>
            <w:tcBorders>
              <w:top w:val="nil"/>
              <w:left w:val="nil"/>
              <w:bottom w:val="single" w:color="auto" w:sz="4" w:space="0"/>
              <w:right w:val="single" w:color="auto" w:sz="4" w:space="0"/>
            </w:tcBorders>
            <w:shd w:val="clear" w:color="auto" w:fill="auto"/>
            <w:vAlign w:val="center"/>
          </w:tcPr>
          <w:p>
            <w:pPr>
              <w:spacing w:line="240" w:lineRule="exact"/>
              <w:jc w:val="both"/>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19个</w:t>
            </w:r>
          </w:p>
        </w:tc>
        <w:tc>
          <w:tcPr>
            <w:tcW w:w="72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20</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20</w:t>
            </w: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1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13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72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1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13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72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546"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质量指标</w:t>
            </w:r>
          </w:p>
        </w:tc>
        <w:tc>
          <w:tcPr>
            <w:tcW w:w="2111" w:type="dxa"/>
            <w:gridSpan w:val="3"/>
            <w:tcBorders>
              <w:top w:val="single" w:color="auto" w:sz="4" w:space="0"/>
              <w:left w:val="nil"/>
              <w:bottom w:val="single" w:color="auto" w:sz="4" w:space="0"/>
              <w:right w:val="single" w:color="auto" w:sz="4" w:space="0"/>
            </w:tcBorders>
            <w:vAlign w:val="center"/>
          </w:tcPr>
          <w:p>
            <w:pPr>
              <w:rPr>
                <w:rFonts w:hint="eastAsia" w:eastAsiaTheme="minorEastAsia"/>
                <w:lang w:eastAsia="zh-CN"/>
              </w:rPr>
            </w:pPr>
            <w:r>
              <w:rPr>
                <w:rFonts w:hint="eastAsia"/>
              </w:rPr>
              <w:t>指标1：</w:t>
            </w:r>
            <w:r>
              <w:rPr>
                <w:rFonts w:hint="eastAsia"/>
                <w:lang w:eastAsia="zh-CN"/>
              </w:rPr>
              <w:t>保障地区图书馆开放时间</w:t>
            </w:r>
          </w:p>
        </w:tc>
        <w:tc>
          <w:tcPr>
            <w:tcW w:w="1160" w:type="dxa"/>
            <w:tcBorders>
              <w:top w:val="nil"/>
              <w:left w:val="nil"/>
              <w:bottom w:val="single" w:color="auto" w:sz="4" w:space="0"/>
              <w:right w:val="single" w:color="auto" w:sz="4" w:space="0"/>
            </w:tcBorders>
            <w:shd w:val="clear" w:color="auto" w:fill="auto"/>
            <w:vAlign w:val="center"/>
          </w:tcPr>
          <w:p>
            <w:pPr>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每周不低于56小时</w:t>
            </w:r>
          </w:p>
        </w:tc>
        <w:tc>
          <w:tcPr>
            <w:tcW w:w="1310" w:type="dxa"/>
            <w:tcBorders>
              <w:top w:val="nil"/>
              <w:left w:val="nil"/>
              <w:bottom w:val="single" w:color="auto" w:sz="4" w:space="0"/>
              <w:right w:val="single" w:color="auto" w:sz="4" w:space="0"/>
            </w:tcBorders>
            <w:shd w:val="clear" w:color="auto" w:fill="auto"/>
            <w:vAlign w:val="center"/>
          </w:tcPr>
          <w:p>
            <w:pPr>
              <w:spacing w:line="240" w:lineRule="exact"/>
              <w:jc w:val="both"/>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每周不低于56小时</w:t>
            </w:r>
          </w:p>
        </w:tc>
        <w:tc>
          <w:tcPr>
            <w:tcW w:w="72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1176"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r>
              <w:rPr>
                <w:rFonts w:hint="eastAsia" w:ascii="宋体" w:hAnsi="宋体" w:eastAsia="宋体" w:cs="宋体"/>
                <w:color w:val="000000"/>
                <w:kern w:val="0"/>
                <w:sz w:val="20"/>
                <w:szCs w:val="20"/>
                <w:lang w:eastAsia="zh-CN"/>
              </w:rPr>
              <w:t>活动从居民意见建议中确定，确保活动满意度高</w:t>
            </w:r>
          </w:p>
        </w:tc>
        <w:tc>
          <w:tcPr>
            <w:tcW w:w="11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满意度高</w:t>
            </w:r>
          </w:p>
        </w:tc>
        <w:tc>
          <w:tcPr>
            <w:tcW w:w="13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满意度高</w:t>
            </w:r>
          </w:p>
        </w:tc>
        <w:tc>
          <w:tcPr>
            <w:tcW w:w="72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1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13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72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5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时效指标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宋体" w:hAnsi="宋体" w:eastAsia="宋体" w:cs="宋体"/>
                <w:kern w:val="0"/>
                <w:sz w:val="20"/>
                <w:szCs w:val="20"/>
                <w:lang w:eastAsia="zh-CN"/>
              </w:rPr>
              <w:t>全年（地区图书馆）</w:t>
            </w:r>
          </w:p>
        </w:tc>
        <w:tc>
          <w:tcPr>
            <w:tcW w:w="1160" w:type="dxa"/>
            <w:tcBorders>
              <w:top w:val="nil"/>
              <w:left w:val="nil"/>
              <w:bottom w:val="single" w:color="auto" w:sz="4" w:space="0"/>
              <w:right w:val="single" w:color="auto" w:sz="4" w:space="0"/>
            </w:tcBorders>
            <w:shd w:val="clear" w:color="auto" w:fill="auto"/>
            <w:vAlign w:val="center"/>
          </w:tcPr>
          <w:p>
            <w:pPr>
              <w:spacing w:line="240" w:lineRule="exact"/>
              <w:jc w:val="both"/>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无休开放</w:t>
            </w:r>
          </w:p>
        </w:tc>
        <w:tc>
          <w:tcPr>
            <w:tcW w:w="1310" w:type="dxa"/>
            <w:tcBorders>
              <w:top w:val="nil"/>
              <w:left w:val="nil"/>
              <w:bottom w:val="single" w:color="auto" w:sz="4" w:space="0"/>
              <w:right w:val="single" w:color="auto" w:sz="4" w:space="0"/>
            </w:tcBorders>
            <w:shd w:val="clear" w:color="auto" w:fill="auto"/>
            <w:vAlign w:val="center"/>
          </w:tcPr>
          <w:p>
            <w:pPr>
              <w:spacing w:line="240" w:lineRule="exact"/>
              <w:jc w:val="both"/>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无休开放</w:t>
            </w:r>
          </w:p>
        </w:tc>
        <w:tc>
          <w:tcPr>
            <w:tcW w:w="72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98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shd w:val="clear" w:color="auto" w:fill="auto"/>
            <w:vAlign w:val="center"/>
          </w:tcPr>
          <w:p>
            <w:pPr>
              <w:spacing w:line="240" w:lineRule="exact"/>
              <w:jc w:val="both"/>
              <w:rPr>
                <w:rFonts w:ascii="宋体" w:hAnsi="宋体" w:eastAsia="宋体" w:cs="宋体"/>
                <w:color w:val="000000"/>
                <w:kern w:val="0"/>
                <w:sz w:val="18"/>
                <w:szCs w:val="18"/>
                <w:lang w:val="en-US" w:eastAsia="zh-CN" w:bidi="ar-SA"/>
              </w:rPr>
            </w:pPr>
            <w:r>
              <w:rPr>
                <w:rFonts w:hint="eastAsia" w:ascii="宋体" w:hAnsi="宋体" w:eastAsia="宋体" w:cs="宋体"/>
                <w:kern w:val="0"/>
                <w:sz w:val="20"/>
                <w:szCs w:val="20"/>
                <w:lang w:eastAsia="zh-CN"/>
              </w:rPr>
              <w:t>全年（市民中心、科普教育基地、）</w:t>
            </w:r>
          </w:p>
        </w:tc>
        <w:tc>
          <w:tcPr>
            <w:tcW w:w="11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工作日开放</w:t>
            </w:r>
          </w:p>
        </w:tc>
        <w:tc>
          <w:tcPr>
            <w:tcW w:w="13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工作日开放</w:t>
            </w:r>
          </w:p>
        </w:tc>
        <w:tc>
          <w:tcPr>
            <w:tcW w:w="72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16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1310"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72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80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成本指标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宋体" w:hAnsi="宋体" w:eastAsia="宋体" w:cs="宋体"/>
                <w:kern w:val="0"/>
                <w:sz w:val="20"/>
                <w:szCs w:val="20"/>
                <w:lang w:eastAsia="zh-CN"/>
              </w:rPr>
              <w:t>光源里市民中心运营</w:t>
            </w:r>
          </w:p>
        </w:tc>
        <w:tc>
          <w:tcPr>
            <w:tcW w:w="11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401082</w:t>
            </w:r>
          </w:p>
          <w:p>
            <w:pPr>
              <w:rPr>
                <w:rFonts w:hint="default" w:asciiTheme="minorHAnsi" w:hAnsiTheme="minorHAnsi" w:eastAsiaTheme="minorEastAsia" w:cstheme="minorBidi"/>
                <w:kern w:val="2"/>
                <w:sz w:val="21"/>
                <w:szCs w:val="22"/>
                <w:lang w:val="en-US" w:eastAsia="zh-CN" w:bidi="ar-SA"/>
              </w:rPr>
            </w:pPr>
          </w:p>
        </w:tc>
        <w:tc>
          <w:tcPr>
            <w:tcW w:w="13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401082</w:t>
            </w:r>
          </w:p>
          <w:p>
            <w:pPr>
              <w:jc w:val="center"/>
              <w:rPr>
                <w:rFonts w:hint="default" w:asciiTheme="minorHAnsi" w:hAnsiTheme="minorHAnsi" w:eastAsiaTheme="minorEastAsia" w:cstheme="minorBidi"/>
                <w:kern w:val="2"/>
                <w:sz w:val="21"/>
                <w:szCs w:val="22"/>
                <w:lang w:val="en-US" w:eastAsia="zh-CN" w:bidi="ar-SA"/>
              </w:rPr>
            </w:pPr>
          </w:p>
        </w:tc>
        <w:tc>
          <w:tcPr>
            <w:tcW w:w="72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10</w:t>
            </w: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10</w:t>
            </w: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5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r>
              <w:rPr>
                <w:rFonts w:hint="eastAsia" w:ascii="宋体" w:hAnsi="宋体" w:eastAsia="宋体" w:cs="宋体"/>
                <w:kern w:val="0"/>
                <w:sz w:val="20"/>
                <w:szCs w:val="20"/>
                <w:lang w:eastAsia="zh-CN"/>
              </w:rPr>
              <w:t>地区图书馆24小时运营</w:t>
            </w:r>
          </w:p>
        </w:tc>
        <w:tc>
          <w:tcPr>
            <w:tcW w:w="1160" w:type="dxa"/>
            <w:tcBorders>
              <w:top w:val="nil"/>
              <w:left w:val="nil"/>
              <w:bottom w:val="single" w:color="auto" w:sz="4" w:space="0"/>
              <w:right w:val="single" w:color="auto" w:sz="4" w:space="0"/>
            </w:tcBorders>
            <w:vAlign w:val="center"/>
          </w:tcPr>
          <w:p>
            <w:pPr>
              <w:keepNext w:val="0"/>
              <w:keepLines w:val="0"/>
              <w:widowControl/>
              <w:suppressLineNumbers w:val="0"/>
              <w:jc w:val="left"/>
            </w:pPr>
            <w:r>
              <w:rPr>
                <w:rFonts w:ascii="宋体" w:hAnsi="宋体" w:eastAsia="宋体" w:cs="宋体"/>
                <w:kern w:val="0"/>
                <w:sz w:val="24"/>
                <w:szCs w:val="24"/>
                <w:lang w:val="en-US" w:eastAsia="zh-CN" w:bidi="ar"/>
              </w:rPr>
              <w:t>486000</w:t>
            </w:r>
          </w:p>
          <w:p/>
        </w:tc>
        <w:tc>
          <w:tcPr>
            <w:tcW w:w="1310" w:type="dxa"/>
            <w:tcBorders>
              <w:top w:val="nil"/>
              <w:left w:val="nil"/>
              <w:bottom w:val="single" w:color="auto" w:sz="4" w:space="0"/>
              <w:right w:val="single" w:color="auto" w:sz="4" w:space="0"/>
            </w:tcBorders>
            <w:vAlign w:val="center"/>
          </w:tcPr>
          <w:p>
            <w:pPr>
              <w:keepNext w:val="0"/>
              <w:keepLines w:val="0"/>
              <w:widowControl/>
              <w:suppressLineNumbers w:val="0"/>
              <w:jc w:val="left"/>
            </w:pPr>
            <w:r>
              <w:rPr>
                <w:rFonts w:ascii="宋体" w:hAnsi="宋体" w:eastAsia="宋体" w:cs="宋体"/>
                <w:kern w:val="0"/>
                <w:sz w:val="24"/>
                <w:szCs w:val="24"/>
                <w:lang w:val="en-US" w:eastAsia="zh-CN" w:bidi="ar"/>
              </w:rPr>
              <w:t>486000</w:t>
            </w:r>
          </w:p>
          <w:p/>
        </w:tc>
        <w:tc>
          <w:tcPr>
            <w:tcW w:w="722" w:type="dxa"/>
            <w:tcBorders>
              <w:top w:val="nil"/>
              <w:left w:val="nil"/>
              <w:bottom w:val="single" w:color="auto" w:sz="4" w:space="0"/>
              <w:right w:val="single" w:color="auto" w:sz="4" w:space="0"/>
            </w:tcBorders>
            <w:vAlign w:val="center"/>
          </w:tcPr>
          <w:p/>
        </w:tc>
        <w:tc>
          <w:tcPr>
            <w:tcW w:w="882" w:type="dxa"/>
            <w:tcBorders>
              <w:top w:val="nil"/>
              <w:left w:val="nil"/>
              <w:bottom w:val="single" w:color="auto" w:sz="4" w:space="0"/>
              <w:right w:val="single" w:color="auto" w:sz="4" w:space="0"/>
            </w:tcBorders>
            <w:vAlign w:val="center"/>
          </w:tc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r>
              <w:rPr>
                <w:rFonts w:hint="eastAsia" w:ascii="宋体" w:hAnsi="宋体" w:eastAsia="宋体" w:cs="宋体"/>
                <w:kern w:val="0"/>
                <w:sz w:val="20"/>
                <w:szCs w:val="20"/>
              </w:rPr>
              <w:t>科普教育基地运营</w:t>
            </w:r>
          </w:p>
        </w:tc>
        <w:tc>
          <w:tcPr>
            <w:tcW w:w="1160"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20"/>
                <w:szCs w:val="20"/>
                <w:lang w:val="en-US" w:eastAsia="zh-CN"/>
              </w:rPr>
              <w:t>250961.19元</w:t>
            </w:r>
          </w:p>
        </w:tc>
        <w:tc>
          <w:tcPr>
            <w:tcW w:w="1310"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20"/>
                <w:szCs w:val="20"/>
                <w:lang w:val="en-US" w:eastAsia="zh-CN"/>
              </w:rPr>
              <w:t>250961.19元</w:t>
            </w:r>
          </w:p>
        </w:tc>
        <w:tc>
          <w:tcPr>
            <w:tcW w:w="722" w:type="dxa"/>
            <w:tcBorders>
              <w:top w:val="nil"/>
              <w:left w:val="nil"/>
              <w:bottom w:val="single" w:color="auto" w:sz="4" w:space="0"/>
              <w:right w:val="single" w:color="auto" w:sz="4" w:space="0"/>
            </w:tcBorders>
            <w:vAlign w:val="center"/>
          </w:tcPr>
          <w:p/>
        </w:tc>
        <w:tc>
          <w:tcPr>
            <w:tcW w:w="882" w:type="dxa"/>
            <w:tcBorders>
              <w:top w:val="nil"/>
              <w:left w:val="nil"/>
              <w:bottom w:val="single" w:color="auto" w:sz="4" w:space="0"/>
              <w:right w:val="single" w:color="auto" w:sz="4" w:space="0"/>
            </w:tcBorders>
            <w:vAlign w:val="center"/>
          </w:tc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效益指标</w:t>
            </w: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经济效益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1160" w:type="dxa"/>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tc>
        <w:tc>
          <w:tcPr>
            <w:tcW w:w="722" w:type="dxa"/>
            <w:tcBorders>
              <w:top w:val="nil"/>
              <w:left w:val="nil"/>
              <w:bottom w:val="single" w:color="auto" w:sz="4" w:space="0"/>
              <w:right w:val="single" w:color="auto" w:sz="4" w:space="0"/>
            </w:tcBorders>
            <w:vAlign w:val="center"/>
          </w:tcPr>
          <w:p/>
        </w:tc>
        <w:tc>
          <w:tcPr>
            <w:tcW w:w="882" w:type="dxa"/>
            <w:tcBorders>
              <w:top w:val="nil"/>
              <w:left w:val="nil"/>
              <w:bottom w:val="single" w:color="auto" w:sz="4" w:space="0"/>
              <w:right w:val="single" w:color="auto" w:sz="4" w:space="0"/>
            </w:tcBorders>
            <w:vAlign w:val="center"/>
          </w:tc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160" w:type="dxa"/>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tc>
        <w:tc>
          <w:tcPr>
            <w:tcW w:w="722" w:type="dxa"/>
            <w:tcBorders>
              <w:top w:val="nil"/>
              <w:left w:val="nil"/>
              <w:bottom w:val="single" w:color="auto" w:sz="4" w:space="0"/>
              <w:right w:val="single" w:color="auto" w:sz="4" w:space="0"/>
            </w:tcBorders>
            <w:vAlign w:val="center"/>
          </w:tcPr>
          <w:p/>
        </w:tc>
        <w:tc>
          <w:tcPr>
            <w:tcW w:w="882" w:type="dxa"/>
            <w:tcBorders>
              <w:top w:val="nil"/>
              <w:left w:val="nil"/>
              <w:bottom w:val="single" w:color="auto" w:sz="4" w:space="0"/>
              <w:right w:val="single" w:color="auto" w:sz="4" w:space="0"/>
            </w:tcBorders>
            <w:vAlign w:val="center"/>
          </w:tc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160" w:type="dxa"/>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tc>
        <w:tc>
          <w:tcPr>
            <w:tcW w:w="722" w:type="dxa"/>
            <w:tcBorders>
              <w:top w:val="nil"/>
              <w:left w:val="nil"/>
              <w:bottom w:val="single" w:color="auto" w:sz="4" w:space="0"/>
              <w:right w:val="single" w:color="auto" w:sz="4" w:space="0"/>
            </w:tcBorders>
            <w:vAlign w:val="center"/>
          </w:tcPr>
          <w:p/>
        </w:tc>
        <w:tc>
          <w:tcPr>
            <w:tcW w:w="882" w:type="dxa"/>
            <w:tcBorders>
              <w:top w:val="nil"/>
              <w:left w:val="nil"/>
              <w:bottom w:val="single" w:color="auto" w:sz="4" w:space="0"/>
              <w:right w:val="single" w:color="auto" w:sz="4" w:space="0"/>
            </w:tcBorders>
            <w:vAlign w:val="center"/>
          </w:tc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194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社会效益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宋体" w:hAnsi="宋体" w:eastAsia="宋体" w:cs="宋体"/>
                <w:kern w:val="0"/>
                <w:sz w:val="20"/>
                <w:szCs w:val="20"/>
                <w:lang w:eastAsia="zh-CN"/>
              </w:rPr>
              <w:t>社区文化服务效能</w:t>
            </w:r>
          </w:p>
        </w:tc>
        <w:tc>
          <w:tcPr>
            <w:tcW w:w="1160" w:type="dxa"/>
            <w:tcBorders>
              <w:top w:val="nil"/>
              <w:left w:val="nil"/>
              <w:bottom w:val="single" w:color="auto" w:sz="4" w:space="0"/>
              <w:right w:val="single" w:color="auto" w:sz="4" w:space="0"/>
            </w:tcBorders>
            <w:vAlign w:val="center"/>
          </w:tcPr>
          <w:p>
            <w:pPr>
              <w:rPr>
                <w:rFonts w:hint="eastAsia" w:eastAsiaTheme="minorEastAsia"/>
                <w:lang w:eastAsia="zh-CN"/>
              </w:rPr>
            </w:pPr>
            <w:r>
              <w:rPr>
                <w:rFonts w:hint="eastAsia"/>
                <w:lang w:eastAsia="zh-CN"/>
              </w:rPr>
              <w:t>得到提升</w:t>
            </w:r>
          </w:p>
        </w:tc>
        <w:tc>
          <w:tcPr>
            <w:tcW w:w="1310" w:type="dxa"/>
            <w:tcBorders>
              <w:top w:val="nil"/>
              <w:left w:val="nil"/>
              <w:bottom w:val="single" w:color="auto" w:sz="4" w:space="0"/>
              <w:right w:val="single" w:color="auto" w:sz="4" w:space="0"/>
            </w:tcBorders>
            <w:vAlign w:val="center"/>
          </w:tcPr>
          <w:p>
            <w:r>
              <w:rPr>
                <w:rFonts w:hint="eastAsia" w:ascii="宋体" w:hAnsi="宋体" w:eastAsia="宋体" w:cs="宋体"/>
                <w:kern w:val="0"/>
                <w:sz w:val="20"/>
                <w:szCs w:val="20"/>
                <w:lang w:val="en-US" w:eastAsia="zh-CN"/>
              </w:rPr>
              <w:t>得到提高</w:t>
            </w:r>
          </w:p>
        </w:tc>
        <w:tc>
          <w:tcPr>
            <w:tcW w:w="722" w:type="dxa"/>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20</w:t>
            </w:r>
          </w:p>
        </w:tc>
        <w:tc>
          <w:tcPr>
            <w:tcW w:w="882" w:type="dxa"/>
            <w:tcBorders>
              <w:top w:val="nil"/>
              <w:left w:val="nil"/>
              <w:bottom w:val="single" w:color="auto" w:sz="4" w:space="0"/>
              <w:right w:val="single" w:color="auto" w:sz="4" w:space="0"/>
            </w:tcBorders>
            <w:vAlign w:val="center"/>
          </w:tcPr>
          <w:p>
            <w:pPr>
              <w:bidi w:val="0"/>
              <w:jc w:val="left"/>
              <w:rPr>
                <w:rFonts w:hint="default"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19</w:t>
            </w:r>
          </w:p>
        </w:tc>
        <w:tc>
          <w:tcPr>
            <w:tcW w:w="680" w:type="dxa"/>
            <w:tcBorders>
              <w:top w:val="single" w:color="auto" w:sz="4" w:space="0"/>
              <w:left w:val="nil"/>
              <w:bottom w:val="single" w:color="auto" w:sz="4" w:space="0"/>
              <w:right w:val="single" w:color="auto" w:sz="4" w:space="0"/>
            </w:tcBorders>
            <w:vAlign w:val="center"/>
          </w:tcPr>
          <w:p>
            <w:pPr>
              <w:rPr>
                <w:rFonts w:hint="eastAsia" w:eastAsiaTheme="minorEastAsia"/>
                <w:lang w:eastAsia="zh-CN"/>
              </w:rPr>
            </w:pPr>
            <w:r>
              <w:rPr>
                <w:rFonts w:hint="eastAsia"/>
                <w:lang w:eastAsia="zh-CN"/>
              </w:rPr>
              <w:t>有效提升社区文化服务效能</w:t>
            </w:r>
          </w:p>
        </w:tc>
      </w:tr>
      <w:tr>
        <w:tblPrEx>
          <w:tblCellMar>
            <w:top w:w="0" w:type="dxa"/>
            <w:left w:w="108" w:type="dxa"/>
            <w:bottom w:w="0" w:type="dxa"/>
            <w:right w:w="108" w:type="dxa"/>
          </w:tblCellMar>
        </w:tblPrEx>
        <w:trPr>
          <w:gridAfter w:val="1"/>
          <w:wAfter w:w="20" w:type="dxa"/>
          <w:trHeight w:val="83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r>
              <w:rPr>
                <w:rFonts w:hint="eastAsia" w:ascii="宋体" w:hAnsi="宋体" w:eastAsia="宋体" w:cs="宋体"/>
                <w:kern w:val="0"/>
                <w:sz w:val="20"/>
                <w:szCs w:val="20"/>
              </w:rPr>
              <w:t>居民各类文化活动的需求</w:t>
            </w:r>
          </w:p>
        </w:tc>
        <w:tc>
          <w:tcPr>
            <w:tcW w:w="1160" w:type="dxa"/>
            <w:tcBorders>
              <w:top w:val="nil"/>
              <w:left w:val="nil"/>
              <w:bottom w:val="single" w:color="auto" w:sz="4" w:space="0"/>
              <w:right w:val="single" w:color="auto" w:sz="4" w:space="0"/>
            </w:tcBorders>
            <w:shd w:val="clear" w:color="auto" w:fill="auto"/>
            <w:vAlign w:val="center"/>
          </w:tcPr>
          <w:p>
            <w:pPr>
              <w:rPr>
                <w:rFonts w:hint="eastAsia" w:asciiTheme="minorHAnsi" w:hAnsiTheme="minorHAnsi" w:eastAsiaTheme="minorEastAsia" w:cstheme="minorBidi"/>
                <w:kern w:val="2"/>
                <w:sz w:val="21"/>
                <w:szCs w:val="22"/>
                <w:lang w:val="en-US" w:eastAsia="zh-CN" w:bidi="ar-SA"/>
              </w:rPr>
            </w:pPr>
            <w:r>
              <w:rPr>
                <w:rFonts w:hint="eastAsia"/>
                <w:lang w:eastAsia="zh-CN"/>
              </w:rPr>
              <w:t>得到提升</w:t>
            </w:r>
          </w:p>
        </w:tc>
        <w:tc>
          <w:tcPr>
            <w:tcW w:w="1310" w:type="dxa"/>
            <w:tcBorders>
              <w:top w:val="nil"/>
              <w:left w:val="nil"/>
              <w:bottom w:val="single" w:color="auto" w:sz="4" w:space="0"/>
              <w:right w:val="single" w:color="auto" w:sz="4" w:space="0"/>
            </w:tcBorders>
            <w:shd w:val="clear" w:color="auto" w:fill="auto"/>
            <w:vAlign w:val="center"/>
          </w:tcPr>
          <w:p>
            <w:pPr>
              <w:rPr>
                <w:rFonts w:asciiTheme="minorHAnsi" w:hAnsiTheme="minorHAnsi" w:eastAsiaTheme="minorEastAsia" w:cstheme="minorBidi"/>
                <w:kern w:val="2"/>
                <w:sz w:val="21"/>
                <w:szCs w:val="22"/>
                <w:lang w:val="en-US" w:eastAsia="zh-CN" w:bidi="ar-SA"/>
              </w:rPr>
            </w:pPr>
            <w:r>
              <w:rPr>
                <w:rFonts w:hint="eastAsia" w:ascii="宋体" w:hAnsi="宋体" w:eastAsia="宋体" w:cs="宋体"/>
                <w:kern w:val="0"/>
                <w:sz w:val="20"/>
                <w:szCs w:val="20"/>
                <w:lang w:val="en-US" w:eastAsia="zh-CN"/>
              </w:rPr>
              <w:t>得到提高</w:t>
            </w:r>
          </w:p>
        </w:tc>
        <w:tc>
          <w:tcPr>
            <w:tcW w:w="722" w:type="dxa"/>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w:t>
            </w:r>
          </w:p>
        </w:tc>
        <w:tc>
          <w:tcPr>
            <w:tcW w:w="882" w:type="dxa"/>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w:t>
            </w: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160" w:type="dxa"/>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tc>
        <w:tc>
          <w:tcPr>
            <w:tcW w:w="722" w:type="dxa"/>
            <w:tcBorders>
              <w:top w:val="nil"/>
              <w:left w:val="nil"/>
              <w:bottom w:val="single" w:color="auto" w:sz="4" w:space="0"/>
              <w:right w:val="single" w:color="auto" w:sz="4" w:space="0"/>
            </w:tcBorders>
            <w:vAlign w:val="center"/>
          </w:tcPr>
          <w:p/>
        </w:tc>
        <w:tc>
          <w:tcPr>
            <w:tcW w:w="882" w:type="dxa"/>
            <w:tcBorders>
              <w:top w:val="nil"/>
              <w:left w:val="nil"/>
              <w:bottom w:val="single" w:color="auto" w:sz="4" w:space="0"/>
              <w:right w:val="single" w:color="auto" w:sz="4" w:space="0"/>
            </w:tcBorders>
            <w:vAlign w:val="center"/>
          </w:tc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生态效益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1160" w:type="dxa"/>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tc>
        <w:tc>
          <w:tcPr>
            <w:tcW w:w="722" w:type="dxa"/>
            <w:tcBorders>
              <w:top w:val="nil"/>
              <w:left w:val="nil"/>
              <w:bottom w:val="single" w:color="auto" w:sz="4" w:space="0"/>
              <w:right w:val="single" w:color="auto" w:sz="4" w:space="0"/>
            </w:tcBorders>
            <w:vAlign w:val="center"/>
          </w:tcPr>
          <w:p/>
        </w:tc>
        <w:tc>
          <w:tcPr>
            <w:tcW w:w="882" w:type="dxa"/>
            <w:tcBorders>
              <w:top w:val="nil"/>
              <w:left w:val="nil"/>
              <w:bottom w:val="single" w:color="auto" w:sz="4" w:space="0"/>
              <w:right w:val="single" w:color="auto" w:sz="4" w:space="0"/>
            </w:tcBorders>
            <w:vAlign w:val="center"/>
          </w:tc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160" w:type="dxa"/>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tc>
        <w:tc>
          <w:tcPr>
            <w:tcW w:w="722" w:type="dxa"/>
            <w:tcBorders>
              <w:top w:val="nil"/>
              <w:left w:val="nil"/>
              <w:bottom w:val="single" w:color="auto" w:sz="4" w:space="0"/>
              <w:right w:val="single" w:color="auto" w:sz="4" w:space="0"/>
            </w:tcBorders>
            <w:vAlign w:val="center"/>
          </w:tcPr>
          <w:p/>
        </w:tc>
        <w:tc>
          <w:tcPr>
            <w:tcW w:w="882" w:type="dxa"/>
            <w:tcBorders>
              <w:top w:val="nil"/>
              <w:left w:val="nil"/>
              <w:bottom w:val="single" w:color="auto" w:sz="4" w:space="0"/>
              <w:right w:val="single" w:color="auto" w:sz="4" w:space="0"/>
            </w:tcBorders>
            <w:vAlign w:val="center"/>
          </w:tc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126"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160" w:type="dxa"/>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tc>
        <w:tc>
          <w:tcPr>
            <w:tcW w:w="722" w:type="dxa"/>
            <w:tcBorders>
              <w:top w:val="nil"/>
              <w:left w:val="nil"/>
              <w:bottom w:val="single" w:color="auto" w:sz="4" w:space="0"/>
              <w:right w:val="single" w:color="auto" w:sz="4" w:space="0"/>
            </w:tcBorders>
            <w:vAlign w:val="center"/>
          </w:tcPr>
          <w:p/>
        </w:tc>
        <w:tc>
          <w:tcPr>
            <w:tcW w:w="882" w:type="dxa"/>
            <w:tcBorders>
              <w:top w:val="nil"/>
              <w:left w:val="nil"/>
              <w:bottom w:val="single" w:color="auto" w:sz="4" w:space="0"/>
              <w:right w:val="single" w:color="auto" w:sz="4" w:space="0"/>
            </w:tcBorders>
            <w:vAlign w:val="center"/>
          </w:tc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1566"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可持续影响指标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1160" w:type="dxa"/>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pPr>
              <w:rPr>
                <w:rFonts w:hint="eastAsia" w:eastAsiaTheme="minorEastAsia"/>
                <w:lang w:eastAsia="zh-CN"/>
              </w:rPr>
            </w:pPr>
          </w:p>
        </w:tc>
        <w:tc>
          <w:tcPr>
            <w:tcW w:w="72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lang w:val="en-US" w:eastAsia="zh-CN" w:bidi="ar-SA"/>
              </w:rPr>
            </w:pPr>
          </w:p>
        </w:tc>
        <w:tc>
          <w:tcPr>
            <w:tcW w:w="88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160" w:type="dxa"/>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tc>
        <w:tc>
          <w:tcPr>
            <w:tcW w:w="722" w:type="dxa"/>
            <w:tcBorders>
              <w:top w:val="nil"/>
              <w:left w:val="nil"/>
              <w:bottom w:val="single" w:color="auto" w:sz="4" w:space="0"/>
              <w:right w:val="single" w:color="auto" w:sz="4" w:space="0"/>
            </w:tcBorders>
            <w:vAlign w:val="center"/>
          </w:tcPr>
          <w:p/>
        </w:tc>
        <w:tc>
          <w:tcPr>
            <w:tcW w:w="882" w:type="dxa"/>
            <w:tcBorders>
              <w:top w:val="nil"/>
              <w:left w:val="nil"/>
              <w:bottom w:val="single" w:color="auto" w:sz="4" w:space="0"/>
              <w:right w:val="single" w:color="auto" w:sz="4" w:space="0"/>
            </w:tcBorders>
            <w:vAlign w:val="center"/>
          </w:tc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11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160" w:type="dxa"/>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tc>
        <w:tc>
          <w:tcPr>
            <w:tcW w:w="722" w:type="dxa"/>
            <w:tcBorders>
              <w:top w:val="nil"/>
              <w:left w:val="nil"/>
              <w:bottom w:val="single" w:color="auto" w:sz="4" w:space="0"/>
              <w:right w:val="single" w:color="auto" w:sz="4" w:space="0"/>
            </w:tcBorders>
            <w:vAlign w:val="center"/>
          </w:tcPr>
          <w:p/>
        </w:tc>
        <w:tc>
          <w:tcPr>
            <w:tcW w:w="882" w:type="dxa"/>
            <w:tcBorders>
              <w:top w:val="nil"/>
              <w:left w:val="nil"/>
              <w:bottom w:val="single" w:color="auto" w:sz="4" w:space="0"/>
              <w:right w:val="single" w:color="auto" w:sz="4" w:space="0"/>
            </w:tcBorders>
            <w:vAlign w:val="center"/>
          </w:tc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591" w:hRule="exact"/>
          <w:jc w:val="center"/>
        </w:trPr>
        <w:tc>
          <w:tcPr>
            <w:tcW w:w="711" w:type="dxa"/>
            <w:vMerge w:val="continue"/>
            <w:tcBorders>
              <w:left w:val="single" w:color="auto" w:sz="4" w:space="0"/>
              <w:right w:val="single" w:color="auto" w:sz="4" w:space="0"/>
            </w:tcBorders>
            <w:vAlign w:val="center"/>
          </w:tcPr>
          <w:p/>
        </w:tc>
        <w:tc>
          <w:tcPr>
            <w:tcW w:w="963" w:type="dxa"/>
            <w:vMerge w:val="restart"/>
            <w:tcBorders>
              <w:top w:val="single" w:color="auto" w:sz="4" w:space="0"/>
              <w:left w:val="single" w:color="auto" w:sz="4" w:space="0"/>
              <w:right w:val="single" w:color="auto" w:sz="4" w:space="0"/>
            </w:tcBorders>
            <w:vAlign w:val="center"/>
          </w:tcPr>
          <w:p>
            <w:r>
              <w:rPr>
                <w:rFonts w:hint="eastAsia"/>
              </w:rPr>
              <w:t>满意度</w:t>
            </w:r>
          </w:p>
          <w:p>
            <w:r>
              <w:rPr>
                <w:rFonts w:hint="eastAsia"/>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r>
              <w:rPr>
                <w:rFonts w:hint="eastAsia"/>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宋体" w:hAnsi="宋体" w:eastAsia="宋体" w:cs="宋体"/>
                <w:kern w:val="0"/>
                <w:sz w:val="20"/>
                <w:szCs w:val="20"/>
                <w:lang w:eastAsia="zh-CN"/>
              </w:rPr>
              <w:t>社工和居民满意度</w:t>
            </w:r>
          </w:p>
        </w:tc>
        <w:tc>
          <w:tcPr>
            <w:tcW w:w="116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20"/>
                <w:szCs w:val="20"/>
                <w:lang w:eastAsia="zh-CN"/>
              </w:rPr>
              <w:t>≥</w:t>
            </w:r>
            <w:r>
              <w:rPr>
                <w:rFonts w:hint="eastAsia" w:ascii="宋体" w:hAnsi="宋体" w:eastAsia="宋体" w:cs="宋体"/>
                <w:kern w:val="0"/>
                <w:sz w:val="20"/>
                <w:szCs w:val="20"/>
                <w:lang w:val="en-US" w:eastAsia="zh-CN"/>
              </w:rPr>
              <w:t>90%</w:t>
            </w:r>
          </w:p>
        </w:tc>
        <w:tc>
          <w:tcPr>
            <w:tcW w:w="1310" w:type="dxa"/>
            <w:tcBorders>
              <w:top w:val="single" w:color="auto" w:sz="4" w:space="0"/>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20"/>
                <w:szCs w:val="20"/>
                <w:lang w:eastAsia="zh-CN"/>
              </w:rPr>
              <w:t>≥</w:t>
            </w:r>
            <w:r>
              <w:rPr>
                <w:rFonts w:hint="eastAsia" w:ascii="宋体" w:hAnsi="宋体" w:eastAsia="宋体" w:cs="宋体"/>
                <w:kern w:val="0"/>
                <w:sz w:val="20"/>
                <w:szCs w:val="20"/>
                <w:lang w:val="en-US" w:eastAsia="zh-CN"/>
              </w:rPr>
              <w:t>90%</w:t>
            </w:r>
          </w:p>
        </w:tc>
        <w:tc>
          <w:tcPr>
            <w:tcW w:w="72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88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right w:val="single" w:color="auto" w:sz="4" w:space="0"/>
            </w:tcBorders>
            <w:vAlign w:val="center"/>
          </w:tcPr>
          <w:p/>
        </w:tc>
        <w:tc>
          <w:tcPr>
            <w:tcW w:w="963" w:type="dxa"/>
            <w:vMerge w:val="continue"/>
            <w:tcBorders>
              <w:left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1160" w:type="dxa"/>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tc>
        <w:tc>
          <w:tcPr>
            <w:tcW w:w="722" w:type="dxa"/>
            <w:tcBorders>
              <w:top w:val="nil"/>
              <w:left w:val="nil"/>
              <w:bottom w:val="single" w:color="auto" w:sz="4" w:space="0"/>
              <w:right w:val="single" w:color="auto" w:sz="4" w:space="0"/>
            </w:tcBorders>
            <w:vAlign w:val="center"/>
          </w:tcPr>
          <w:p/>
        </w:tc>
        <w:tc>
          <w:tcPr>
            <w:tcW w:w="882" w:type="dxa"/>
            <w:tcBorders>
              <w:top w:val="nil"/>
              <w:left w:val="nil"/>
              <w:bottom w:val="single" w:color="auto" w:sz="4" w:space="0"/>
              <w:right w:val="single" w:color="auto" w:sz="4" w:space="0"/>
            </w:tcBorders>
            <w:vAlign w:val="center"/>
          </w:tc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11" w:type="dxa"/>
            <w:vMerge w:val="continue"/>
            <w:tcBorders>
              <w:left w:val="single" w:color="auto" w:sz="4" w:space="0"/>
              <w:bottom w:val="single" w:color="auto" w:sz="4" w:space="0"/>
              <w:right w:val="single" w:color="auto" w:sz="4" w:space="0"/>
            </w:tcBorders>
            <w:vAlign w:val="center"/>
          </w:tcPr>
          <w:p/>
        </w:tc>
        <w:tc>
          <w:tcPr>
            <w:tcW w:w="963" w:type="dxa"/>
            <w:vMerge w:val="continue"/>
            <w:tcBorders>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1160" w:type="dxa"/>
            <w:tcBorders>
              <w:top w:val="nil"/>
              <w:left w:val="nil"/>
              <w:bottom w:val="single" w:color="auto" w:sz="4" w:space="0"/>
              <w:right w:val="single" w:color="auto" w:sz="4" w:space="0"/>
            </w:tcBorders>
            <w:vAlign w:val="center"/>
          </w:tcPr>
          <w:p/>
        </w:tc>
        <w:tc>
          <w:tcPr>
            <w:tcW w:w="1310" w:type="dxa"/>
            <w:tcBorders>
              <w:top w:val="nil"/>
              <w:left w:val="nil"/>
              <w:bottom w:val="single" w:color="auto" w:sz="4" w:space="0"/>
              <w:right w:val="single" w:color="auto" w:sz="4" w:space="0"/>
            </w:tcBorders>
            <w:vAlign w:val="center"/>
          </w:tcPr>
          <w:p/>
        </w:tc>
        <w:tc>
          <w:tcPr>
            <w:tcW w:w="722" w:type="dxa"/>
            <w:tcBorders>
              <w:top w:val="nil"/>
              <w:left w:val="nil"/>
              <w:bottom w:val="single" w:color="auto" w:sz="4" w:space="0"/>
              <w:right w:val="single" w:color="auto" w:sz="4" w:space="0"/>
            </w:tcBorders>
            <w:vAlign w:val="center"/>
          </w:tcPr>
          <w:p/>
        </w:tc>
        <w:tc>
          <w:tcPr>
            <w:tcW w:w="882" w:type="dxa"/>
            <w:tcBorders>
              <w:top w:val="nil"/>
              <w:left w:val="nil"/>
              <w:bottom w:val="single" w:color="auto" w:sz="4" w:space="0"/>
              <w:right w:val="single" w:color="auto" w:sz="4" w:space="0"/>
            </w:tcBorders>
            <w:vAlign w:val="center"/>
          </w:tcPr>
          <w:p/>
        </w:tc>
        <w:tc>
          <w:tcPr>
            <w:tcW w:w="680" w:type="dxa"/>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gridAfter w:val="1"/>
          <w:wAfter w:w="20" w:type="dxa"/>
          <w:trHeight w:val="291" w:hRule="exact"/>
          <w:jc w:val="center"/>
        </w:trPr>
        <w:tc>
          <w:tcPr>
            <w:tcW w:w="7347" w:type="dxa"/>
            <w:gridSpan w:val="8"/>
            <w:tcBorders>
              <w:top w:val="single" w:color="auto" w:sz="4" w:space="0"/>
              <w:left w:val="single" w:color="auto" w:sz="4" w:space="0"/>
              <w:bottom w:val="single" w:color="auto" w:sz="4" w:space="0"/>
              <w:right w:val="single" w:color="auto" w:sz="4" w:space="0"/>
            </w:tcBorders>
            <w:vAlign w:val="center"/>
          </w:tcPr>
          <w:p>
            <w:r>
              <w:rPr>
                <w:rFonts w:hint="eastAsia"/>
              </w:rPr>
              <w:t>总分</w:t>
            </w:r>
          </w:p>
        </w:tc>
        <w:tc>
          <w:tcPr>
            <w:tcW w:w="722" w:type="dxa"/>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10000</w:t>
            </w:r>
          </w:p>
        </w:tc>
        <w:tc>
          <w:tcPr>
            <w:tcW w:w="882" w:type="dxa"/>
            <w:tcBorders>
              <w:top w:val="nil"/>
              <w:left w:val="nil"/>
              <w:bottom w:val="single" w:color="auto" w:sz="4" w:space="0"/>
              <w:right w:val="single" w:color="auto" w:sz="4" w:space="0"/>
            </w:tcBorders>
            <w:vAlign w:val="center"/>
          </w:tcPr>
          <w:p>
            <w:pPr>
              <w:rPr>
                <w:rFonts w:hint="default" w:eastAsiaTheme="minorEastAsia"/>
                <w:lang w:val="en-US" w:eastAsia="zh-CN"/>
              </w:rPr>
            </w:pPr>
            <w:r>
              <w:rPr>
                <w:rFonts w:hint="eastAsia"/>
                <w:lang w:val="en-US" w:eastAsia="zh-CN"/>
              </w:rPr>
              <w:t>99</w:t>
            </w:r>
          </w:p>
        </w:tc>
        <w:tc>
          <w:tcPr>
            <w:tcW w:w="680" w:type="dxa"/>
            <w:tcBorders>
              <w:top w:val="single" w:color="auto" w:sz="4" w:space="0"/>
              <w:left w:val="nil"/>
              <w:bottom w:val="single" w:color="auto" w:sz="4" w:space="0"/>
              <w:right w:val="single" w:color="auto" w:sz="4" w:space="0"/>
            </w:tcBorders>
            <w:vAlign w:val="center"/>
          </w:tc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B23422"/>
    <w:rsid w:val="04CA56EA"/>
    <w:rsid w:val="08CE5D49"/>
    <w:rsid w:val="0FB23422"/>
    <w:rsid w:val="28E84ED5"/>
    <w:rsid w:val="2FFF0B9E"/>
    <w:rsid w:val="35B54BBF"/>
    <w:rsid w:val="45FE24EC"/>
    <w:rsid w:val="497C121A"/>
    <w:rsid w:val="6FEFD622"/>
    <w:rsid w:val="75E84CA3"/>
    <w:rsid w:val="CDF5106E"/>
    <w:rsid w:val="DE3BA106"/>
    <w:rsid w:val="F69F0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813</Words>
  <Characters>918</Characters>
  <Lines>0</Lines>
  <Paragraphs>0</Paragraphs>
  <TotalTime>145</TotalTime>
  <ScaleCrop>false</ScaleCrop>
  <LinksUpToDate>false</LinksUpToDate>
  <CharactersWithSpaces>926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2025-03-18T17:19:00Z</dcterms:created>
  <dc:creator>嘟嘟</dc:creator>
  <cp:lastModifiedBy>嘟嘟</cp:lastModifiedBy>
  <cp:lastPrinted>2025-04-12T13:44:00Z</cp:lastPrinted>
  <dcterms:modified xsi:type="dcterms:W3CDTF">2025-08-22T07:52:46Z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B1372485A233C59277AEF8674E24A95D_42</vt:lpwstr>
  </property>
</Properties>
</file>