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680"/>
        <w:gridCol w:w="1105"/>
        <w:gridCol w:w="988"/>
        <w:gridCol w:w="1114"/>
        <w:gridCol w:w="279"/>
        <w:gridCol w:w="1055"/>
        <w:gridCol w:w="1091"/>
        <w:gridCol w:w="750"/>
        <w:gridCol w:w="523"/>
        <w:gridCol w:w="63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12"/>
            <w:tcBorders>
              <w:tl2br w:val="nil"/>
              <w:tr2bl w:val="nil"/>
            </w:tcBorders>
            <w:vAlign w:val="center"/>
          </w:tcPr>
          <w:p>
            <w:pPr>
              <w:widowControl/>
              <w:jc w:val="center"/>
            </w:pPr>
            <w:r>
              <w:rPr>
                <w:sz w:val="21"/>
              </w:rPr>
              <w:pict>
                <v:shape id="_x0000_s1026" o:spid="_x0000_s1026" o:spt="201" type="#_x0000_t201" style="position:absolute;left:0pt;margin-left:24.95pt;margin-top:8.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12"/>
            <w:tcBorders>
              <w:tl2br w:val="nil"/>
              <w:tr2bl w:val="nil"/>
            </w:tcBorders>
          </w:tcPr>
          <w:p>
            <w:pPr>
              <w:widowControl/>
              <w:jc w:val="center"/>
            </w:pPr>
            <w:r>
              <w:rPr>
                <w:rFonts w:hint="eastAsia"/>
              </w:rPr>
              <w:t>（2024年度）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项目名称</w:t>
            </w:r>
          </w:p>
        </w:tc>
        <w:tc>
          <w:tcPr>
            <w:tcW w:w="8209" w:type="dxa"/>
            <w:gridSpan w:val="10"/>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kern w:val="0"/>
                <w:sz w:val="18"/>
                <w:szCs w:val="18"/>
              </w:rPr>
              <w:t>基层司法业务经费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主管部门</w:t>
            </w:r>
          </w:p>
        </w:tc>
        <w:tc>
          <w:tcPr>
            <w:tcW w:w="4541" w:type="dxa"/>
            <w:gridSpan w:val="5"/>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kern w:val="0"/>
                <w:sz w:val="18"/>
                <w:szCs w:val="18"/>
              </w:rPr>
              <w:t>北京市西城区人民政府白纸坊街道办事处</w:t>
            </w:r>
          </w:p>
        </w:tc>
        <w:tc>
          <w:tcPr>
            <w:tcW w:w="1841"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实施单位</w:t>
            </w:r>
          </w:p>
        </w:tc>
        <w:tc>
          <w:tcPr>
            <w:tcW w:w="1827" w:type="dxa"/>
            <w:gridSpan w:val="3"/>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kern w:val="0"/>
                <w:sz w:val="18"/>
                <w:szCs w:val="18"/>
              </w:rPr>
              <w:t>平安建设办公室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项目负责人</w:t>
            </w:r>
          </w:p>
        </w:tc>
        <w:tc>
          <w:tcPr>
            <w:tcW w:w="4541" w:type="dxa"/>
            <w:gridSpan w:val="5"/>
            <w:tcBorders>
              <w:tl2br w:val="nil"/>
              <w:tr2bl w:val="nil"/>
            </w:tcBorders>
            <w:vAlign w:val="center"/>
          </w:tcPr>
          <w:p>
            <w:pPr>
              <w:widowControl/>
              <w:rPr>
                <w:rFonts w:ascii="宋体" w:hAnsi="宋体" w:eastAsia="宋体" w:cs="宋体"/>
                <w:sz w:val="18"/>
                <w:szCs w:val="18"/>
              </w:rPr>
            </w:pPr>
          </w:p>
        </w:tc>
        <w:tc>
          <w:tcPr>
            <w:tcW w:w="1841"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联系电话</w:t>
            </w:r>
          </w:p>
        </w:tc>
        <w:tc>
          <w:tcPr>
            <w:tcW w:w="1827" w:type="dxa"/>
            <w:gridSpan w:val="3"/>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项目资金</w:t>
            </w:r>
            <w:r>
              <w:rPr>
                <w:rFonts w:hint="eastAsia" w:ascii="宋体" w:hAnsi="宋体" w:eastAsia="宋体" w:cs="宋体"/>
                <w:sz w:val="18"/>
                <w:szCs w:val="18"/>
              </w:rPr>
              <w:br w:type="textWrapping"/>
            </w:r>
            <w:r>
              <w:rPr>
                <w:rFonts w:hint="eastAsia" w:ascii="宋体" w:hAnsi="宋体" w:eastAsia="宋体" w:cs="宋体"/>
                <w:sz w:val="18"/>
                <w:szCs w:val="18"/>
              </w:rPr>
              <w:t>（万元）</w:t>
            </w:r>
          </w:p>
        </w:tc>
        <w:tc>
          <w:tcPr>
            <w:tcW w:w="2093" w:type="dxa"/>
            <w:gridSpan w:val="2"/>
            <w:tcBorders>
              <w:tl2br w:val="nil"/>
              <w:tr2bl w:val="nil"/>
            </w:tcBorders>
            <w:vAlign w:val="center"/>
          </w:tcPr>
          <w:p>
            <w:pPr>
              <w:widowControl/>
              <w:rPr>
                <w:rFonts w:ascii="宋体" w:hAnsi="宋体" w:eastAsia="宋体" w:cs="宋体"/>
                <w:sz w:val="18"/>
                <w:szCs w:val="18"/>
              </w:rPr>
            </w:pPr>
          </w:p>
        </w:tc>
        <w:tc>
          <w:tcPr>
            <w:tcW w:w="1114"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年初预算数</w:t>
            </w:r>
          </w:p>
        </w:tc>
        <w:tc>
          <w:tcPr>
            <w:tcW w:w="1334"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全年预算数</w:t>
            </w:r>
          </w:p>
        </w:tc>
        <w:tc>
          <w:tcPr>
            <w:tcW w:w="1841"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全年执行数</w:t>
            </w:r>
          </w:p>
        </w:tc>
        <w:tc>
          <w:tcPr>
            <w:tcW w:w="523"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分值</w:t>
            </w:r>
          </w:p>
        </w:tc>
        <w:tc>
          <w:tcPr>
            <w:tcW w:w="637"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执行率</w:t>
            </w:r>
          </w:p>
        </w:tc>
        <w:tc>
          <w:tcPr>
            <w:tcW w:w="667"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vMerge w:val="continue"/>
            <w:tcBorders>
              <w:tl2br w:val="nil"/>
              <w:tr2bl w:val="nil"/>
            </w:tcBorders>
            <w:vAlign w:val="center"/>
          </w:tcPr>
          <w:p>
            <w:pPr>
              <w:widowControl/>
              <w:rPr>
                <w:rFonts w:ascii="宋体" w:hAnsi="宋体" w:eastAsia="宋体" w:cs="宋体"/>
                <w:sz w:val="18"/>
                <w:szCs w:val="18"/>
              </w:rPr>
            </w:pPr>
            <w:bookmarkStart w:id="0" w:name="OLE_LINK1" w:colFirst="2" w:colLast="7"/>
          </w:p>
        </w:tc>
        <w:tc>
          <w:tcPr>
            <w:tcW w:w="2093"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年度资金总额</w:t>
            </w:r>
          </w:p>
        </w:tc>
        <w:tc>
          <w:tcPr>
            <w:tcW w:w="1114"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24.40万元</w:t>
            </w:r>
          </w:p>
        </w:tc>
        <w:tc>
          <w:tcPr>
            <w:tcW w:w="1334"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23.50万元</w:t>
            </w:r>
          </w:p>
        </w:tc>
        <w:tc>
          <w:tcPr>
            <w:tcW w:w="1841"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23.50万元</w:t>
            </w:r>
          </w:p>
        </w:tc>
        <w:tc>
          <w:tcPr>
            <w:tcW w:w="523"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10</w:t>
            </w:r>
          </w:p>
        </w:tc>
        <w:tc>
          <w:tcPr>
            <w:tcW w:w="637"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100%</w:t>
            </w:r>
          </w:p>
        </w:tc>
        <w:tc>
          <w:tcPr>
            <w:tcW w:w="667"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10</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vMerge w:val="continue"/>
            <w:tcBorders>
              <w:tl2br w:val="nil"/>
              <w:tr2bl w:val="nil"/>
            </w:tcBorders>
            <w:vAlign w:val="center"/>
          </w:tcPr>
          <w:p>
            <w:pPr>
              <w:widowControl/>
              <w:rPr>
                <w:rFonts w:ascii="宋体" w:hAnsi="宋体" w:eastAsia="宋体" w:cs="宋体"/>
                <w:sz w:val="18"/>
                <w:szCs w:val="18"/>
              </w:rPr>
            </w:pPr>
          </w:p>
        </w:tc>
        <w:tc>
          <w:tcPr>
            <w:tcW w:w="2093"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其中：当年财政拨款</w:t>
            </w:r>
          </w:p>
        </w:tc>
        <w:tc>
          <w:tcPr>
            <w:tcW w:w="1114" w:type="dxa"/>
            <w:tcBorders>
              <w:tl2br w:val="nil"/>
              <w:tr2bl w:val="nil"/>
            </w:tcBorders>
            <w:vAlign w:val="center"/>
          </w:tcPr>
          <w:p>
            <w:pPr>
              <w:widowControl/>
              <w:rPr>
                <w:rFonts w:ascii="宋体" w:hAnsi="宋体" w:eastAsia="宋体" w:cs="宋体"/>
                <w:kern w:val="2"/>
                <w:sz w:val="18"/>
                <w:szCs w:val="18"/>
                <w:lang w:val="en-US" w:eastAsia="zh-CN" w:bidi="ar-SA"/>
              </w:rPr>
            </w:pPr>
            <w:r>
              <w:rPr>
                <w:rFonts w:hint="eastAsia" w:ascii="宋体" w:hAnsi="宋体" w:eastAsia="宋体" w:cs="宋体"/>
                <w:sz w:val="18"/>
                <w:szCs w:val="18"/>
              </w:rPr>
              <w:t>24.40万元</w:t>
            </w:r>
          </w:p>
        </w:tc>
        <w:tc>
          <w:tcPr>
            <w:tcW w:w="1334" w:type="dxa"/>
            <w:gridSpan w:val="2"/>
            <w:tcBorders>
              <w:tl2br w:val="nil"/>
              <w:tr2bl w:val="nil"/>
            </w:tcBorders>
            <w:vAlign w:val="center"/>
          </w:tcPr>
          <w:p>
            <w:pPr>
              <w:widowControl/>
              <w:rPr>
                <w:rFonts w:ascii="宋体" w:hAnsi="宋体" w:eastAsia="宋体" w:cs="宋体"/>
                <w:kern w:val="2"/>
                <w:sz w:val="18"/>
                <w:szCs w:val="18"/>
                <w:lang w:val="en-US" w:eastAsia="zh-CN" w:bidi="ar-SA"/>
              </w:rPr>
            </w:pPr>
            <w:r>
              <w:rPr>
                <w:rFonts w:hint="eastAsia" w:ascii="宋体" w:hAnsi="宋体" w:eastAsia="宋体" w:cs="宋体"/>
                <w:sz w:val="18"/>
                <w:szCs w:val="18"/>
              </w:rPr>
              <w:t>23.50万元</w:t>
            </w:r>
          </w:p>
        </w:tc>
        <w:tc>
          <w:tcPr>
            <w:tcW w:w="1841" w:type="dxa"/>
            <w:gridSpan w:val="2"/>
            <w:tcBorders>
              <w:tl2br w:val="nil"/>
              <w:tr2bl w:val="nil"/>
            </w:tcBorders>
            <w:vAlign w:val="center"/>
          </w:tcPr>
          <w:p>
            <w:pPr>
              <w:widowControl/>
              <w:rPr>
                <w:rFonts w:ascii="宋体" w:hAnsi="宋体" w:eastAsia="宋体" w:cs="宋体"/>
                <w:kern w:val="2"/>
                <w:sz w:val="18"/>
                <w:szCs w:val="18"/>
                <w:lang w:val="en-US" w:eastAsia="zh-CN" w:bidi="ar-SA"/>
              </w:rPr>
            </w:pPr>
            <w:r>
              <w:rPr>
                <w:rFonts w:hint="eastAsia" w:ascii="宋体" w:hAnsi="宋体" w:eastAsia="宋体" w:cs="宋体"/>
                <w:sz w:val="18"/>
                <w:szCs w:val="18"/>
              </w:rPr>
              <w:t>23.50万元</w:t>
            </w:r>
          </w:p>
        </w:tc>
        <w:tc>
          <w:tcPr>
            <w:tcW w:w="523" w:type="dxa"/>
            <w:tcBorders>
              <w:tl2br w:val="nil"/>
              <w:tr2bl w:val="nil"/>
            </w:tcBorders>
            <w:vAlign w:val="center"/>
          </w:tcPr>
          <w:p>
            <w:pPr>
              <w:widowControl/>
              <w:rPr>
                <w:rFonts w:ascii="宋体" w:hAnsi="宋体" w:eastAsia="宋体" w:cs="宋体"/>
                <w:kern w:val="2"/>
                <w:sz w:val="18"/>
                <w:szCs w:val="18"/>
                <w:lang w:val="en-US" w:eastAsia="zh-CN" w:bidi="ar-SA"/>
              </w:rPr>
            </w:pPr>
            <w:r>
              <w:rPr>
                <w:rFonts w:hint="eastAsia" w:ascii="宋体" w:hAnsi="宋体" w:eastAsia="宋体" w:cs="宋体"/>
                <w:sz w:val="18"/>
                <w:szCs w:val="18"/>
              </w:rPr>
              <w:t>10</w:t>
            </w:r>
          </w:p>
        </w:tc>
        <w:tc>
          <w:tcPr>
            <w:tcW w:w="637" w:type="dxa"/>
            <w:tcBorders>
              <w:tl2br w:val="nil"/>
              <w:tr2bl w:val="nil"/>
            </w:tcBorders>
            <w:vAlign w:val="center"/>
          </w:tcPr>
          <w:p>
            <w:pPr>
              <w:widowControl/>
              <w:rPr>
                <w:rFonts w:ascii="宋体" w:hAnsi="宋体" w:eastAsia="宋体" w:cs="宋体"/>
                <w:kern w:val="2"/>
                <w:sz w:val="18"/>
                <w:szCs w:val="18"/>
                <w:lang w:val="en-US" w:eastAsia="zh-CN" w:bidi="ar-SA"/>
              </w:rPr>
            </w:pPr>
            <w:r>
              <w:rPr>
                <w:rFonts w:hint="eastAsia" w:ascii="宋体" w:hAnsi="宋体" w:eastAsia="宋体" w:cs="宋体"/>
                <w:sz w:val="18"/>
                <w:szCs w:val="18"/>
              </w:rPr>
              <w:t>100%</w:t>
            </w:r>
          </w:p>
        </w:tc>
        <w:tc>
          <w:tcPr>
            <w:tcW w:w="667" w:type="dxa"/>
            <w:tcBorders>
              <w:tl2br w:val="nil"/>
              <w:tr2bl w:val="nil"/>
            </w:tcBorders>
            <w:vAlign w:val="center"/>
          </w:tcPr>
          <w:p>
            <w:pPr>
              <w:widowControl/>
              <w:rPr>
                <w:rFonts w:ascii="宋体" w:hAnsi="宋体" w:eastAsia="宋体" w:cs="宋体"/>
                <w:kern w:val="2"/>
                <w:sz w:val="18"/>
                <w:szCs w:val="18"/>
                <w:lang w:val="en-US" w:eastAsia="zh-CN" w:bidi="ar-SA"/>
              </w:rPr>
            </w:pPr>
            <w:r>
              <w:rPr>
                <w:rFonts w:hint="eastAsia" w:ascii="宋体" w:hAnsi="宋体" w:eastAsia="宋体" w:cs="宋体"/>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vMerge w:val="continue"/>
            <w:tcBorders>
              <w:tl2br w:val="nil"/>
              <w:tr2bl w:val="nil"/>
            </w:tcBorders>
            <w:vAlign w:val="center"/>
          </w:tcPr>
          <w:p>
            <w:pPr>
              <w:widowControl/>
              <w:rPr>
                <w:rFonts w:ascii="宋体" w:hAnsi="宋体" w:eastAsia="宋体" w:cs="宋体"/>
                <w:sz w:val="18"/>
                <w:szCs w:val="18"/>
              </w:rPr>
            </w:pPr>
          </w:p>
        </w:tc>
        <w:tc>
          <w:tcPr>
            <w:tcW w:w="2093"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 xml:space="preserve">      上年结转资金</w:t>
            </w:r>
          </w:p>
        </w:tc>
        <w:tc>
          <w:tcPr>
            <w:tcW w:w="1114" w:type="dxa"/>
            <w:tcBorders>
              <w:tl2br w:val="nil"/>
              <w:tr2bl w:val="nil"/>
            </w:tcBorders>
            <w:vAlign w:val="center"/>
          </w:tcPr>
          <w:p>
            <w:pPr>
              <w:widowControl/>
              <w:rPr>
                <w:rFonts w:ascii="宋体" w:hAnsi="宋体" w:eastAsia="宋体" w:cs="宋体"/>
                <w:sz w:val="18"/>
                <w:szCs w:val="18"/>
              </w:rPr>
            </w:pPr>
          </w:p>
        </w:tc>
        <w:tc>
          <w:tcPr>
            <w:tcW w:w="1334" w:type="dxa"/>
            <w:gridSpan w:val="2"/>
            <w:tcBorders>
              <w:tl2br w:val="nil"/>
              <w:tr2bl w:val="nil"/>
            </w:tcBorders>
            <w:vAlign w:val="center"/>
          </w:tcPr>
          <w:p>
            <w:pPr>
              <w:widowControl/>
              <w:rPr>
                <w:rFonts w:ascii="宋体" w:hAnsi="宋体" w:eastAsia="宋体" w:cs="宋体"/>
                <w:sz w:val="18"/>
                <w:szCs w:val="18"/>
              </w:rPr>
            </w:pPr>
          </w:p>
        </w:tc>
        <w:tc>
          <w:tcPr>
            <w:tcW w:w="1841" w:type="dxa"/>
            <w:gridSpan w:val="2"/>
            <w:tcBorders>
              <w:tl2br w:val="nil"/>
              <w:tr2bl w:val="nil"/>
            </w:tcBorders>
            <w:vAlign w:val="center"/>
          </w:tcPr>
          <w:p>
            <w:pPr>
              <w:widowControl/>
              <w:rPr>
                <w:rFonts w:ascii="宋体" w:hAnsi="宋体" w:eastAsia="宋体" w:cs="宋体"/>
                <w:sz w:val="18"/>
                <w:szCs w:val="18"/>
              </w:rPr>
            </w:pPr>
          </w:p>
        </w:tc>
        <w:tc>
          <w:tcPr>
            <w:tcW w:w="523"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w:t>
            </w:r>
          </w:p>
        </w:tc>
        <w:tc>
          <w:tcPr>
            <w:tcW w:w="637" w:type="dxa"/>
            <w:tcBorders>
              <w:tl2br w:val="nil"/>
              <w:tr2bl w:val="nil"/>
            </w:tcBorders>
            <w:vAlign w:val="center"/>
          </w:tcPr>
          <w:p>
            <w:pPr>
              <w:widowControl/>
              <w:rPr>
                <w:rFonts w:ascii="宋体" w:hAnsi="宋体" w:eastAsia="宋体" w:cs="宋体"/>
                <w:sz w:val="18"/>
                <w:szCs w:val="18"/>
              </w:rPr>
            </w:pPr>
          </w:p>
        </w:tc>
        <w:tc>
          <w:tcPr>
            <w:tcW w:w="667"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gridSpan w:val="2"/>
            <w:vMerge w:val="continue"/>
            <w:tcBorders>
              <w:tl2br w:val="nil"/>
              <w:tr2bl w:val="nil"/>
            </w:tcBorders>
            <w:vAlign w:val="center"/>
          </w:tcPr>
          <w:p>
            <w:pPr>
              <w:widowControl/>
              <w:rPr>
                <w:rFonts w:ascii="宋体" w:hAnsi="宋体" w:eastAsia="宋体" w:cs="宋体"/>
                <w:sz w:val="18"/>
                <w:szCs w:val="18"/>
              </w:rPr>
            </w:pPr>
          </w:p>
        </w:tc>
        <w:tc>
          <w:tcPr>
            <w:tcW w:w="2093"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 xml:space="preserve">  其他资金</w:t>
            </w:r>
          </w:p>
        </w:tc>
        <w:tc>
          <w:tcPr>
            <w:tcW w:w="1114" w:type="dxa"/>
            <w:tcBorders>
              <w:tl2br w:val="nil"/>
              <w:tr2bl w:val="nil"/>
            </w:tcBorders>
            <w:vAlign w:val="center"/>
          </w:tcPr>
          <w:p>
            <w:pPr>
              <w:widowControl/>
              <w:rPr>
                <w:rFonts w:ascii="宋体" w:hAnsi="宋体" w:eastAsia="宋体" w:cs="宋体"/>
                <w:sz w:val="18"/>
                <w:szCs w:val="18"/>
              </w:rPr>
            </w:pPr>
          </w:p>
        </w:tc>
        <w:tc>
          <w:tcPr>
            <w:tcW w:w="1334" w:type="dxa"/>
            <w:gridSpan w:val="2"/>
            <w:tcBorders>
              <w:tl2br w:val="nil"/>
              <w:tr2bl w:val="nil"/>
            </w:tcBorders>
            <w:vAlign w:val="center"/>
          </w:tcPr>
          <w:p>
            <w:pPr>
              <w:widowControl/>
              <w:rPr>
                <w:rFonts w:ascii="宋体" w:hAnsi="宋体" w:eastAsia="宋体" w:cs="宋体"/>
                <w:sz w:val="18"/>
                <w:szCs w:val="18"/>
              </w:rPr>
            </w:pPr>
          </w:p>
        </w:tc>
        <w:tc>
          <w:tcPr>
            <w:tcW w:w="1841" w:type="dxa"/>
            <w:gridSpan w:val="2"/>
            <w:tcBorders>
              <w:tl2br w:val="nil"/>
              <w:tr2bl w:val="nil"/>
            </w:tcBorders>
            <w:vAlign w:val="center"/>
          </w:tcPr>
          <w:p>
            <w:pPr>
              <w:widowControl/>
              <w:rPr>
                <w:rFonts w:ascii="宋体" w:hAnsi="宋体" w:eastAsia="宋体" w:cs="宋体"/>
                <w:sz w:val="18"/>
                <w:szCs w:val="18"/>
              </w:rPr>
            </w:pPr>
          </w:p>
        </w:tc>
        <w:tc>
          <w:tcPr>
            <w:tcW w:w="523"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w:t>
            </w:r>
          </w:p>
        </w:tc>
        <w:tc>
          <w:tcPr>
            <w:tcW w:w="637" w:type="dxa"/>
            <w:tcBorders>
              <w:tl2br w:val="nil"/>
              <w:tr2bl w:val="nil"/>
            </w:tcBorders>
            <w:vAlign w:val="center"/>
          </w:tcPr>
          <w:p>
            <w:pPr>
              <w:widowControl/>
              <w:rPr>
                <w:rFonts w:ascii="宋体" w:hAnsi="宋体" w:eastAsia="宋体" w:cs="宋体"/>
                <w:sz w:val="18"/>
                <w:szCs w:val="18"/>
              </w:rPr>
            </w:pPr>
          </w:p>
        </w:tc>
        <w:tc>
          <w:tcPr>
            <w:tcW w:w="667"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年度总体目标</w:t>
            </w:r>
          </w:p>
        </w:tc>
        <w:tc>
          <w:tcPr>
            <w:tcW w:w="5221" w:type="dxa"/>
            <w:gridSpan w:val="6"/>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预期目标</w:t>
            </w:r>
          </w:p>
        </w:tc>
        <w:tc>
          <w:tcPr>
            <w:tcW w:w="3668" w:type="dxa"/>
            <w:gridSpan w:val="5"/>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5221" w:type="dxa"/>
            <w:gridSpan w:val="6"/>
            <w:tcBorders>
              <w:tl2br w:val="nil"/>
              <w:tr2bl w:val="nil"/>
            </w:tcBorders>
            <w:vAlign w:val="center"/>
          </w:tcPr>
          <w:p>
            <w:pPr>
              <w:widowControl/>
              <w:rPr>
                <w:rFonts w:ascii="宋体" w:hAnsi="宋体" w:eastAsia="宋体" w:cs="宋体"/>
                <w:sz w:val="15"/>
                <w:szCs w:val="15"/>
              </w:rPr>
            </w:pPr>
            <w:r>
              <w:rPr>
                <w:rFonts w:hint="eastAsia" w:ascii="宋体" w:hAnsi="宋体" w:eastAsia="宋体" w:cs="宋体"/>
                <w:sz w:val="15"/>
                <w:szCs w:val="15"/>
              </w:rPr>
              <w:t>1、按照矫正帮教工作的要求，认真落实各项工作制度，做好矫正帮教对象的核实、接收、走访和建档等基础性工作，落实重大节假日和敏感时期的维稳工作要求，加强对矫正帮教人员的稳控和排查，及时为生活困难的矫正帮教人员提供帮扶和救助，确保矫正帮教人员的稳定。</w:t>
            </w:r>
          </w:p>
          <w:p>
            <w:pPr>
              <w:widowControl/>
              <w:rPr>
                <w:rFonts w:ascii="宋体" w:hAnsi="宋体" w:eastAsia="宋体" w:cs="宋体"/>
                <w:sz w:val="15"/>
                <w:szCs w:val="15"/>
              </w:rPr>
            </w:pPr>
            <w:r>
              <w:rPr>
                <w:rFonts w:hint="eastAsia" w:ascii="宋体" w:hAnsi="宋体" w:eastAsia="宋体" w:cs="宋体"/>
                <w:sz w:val="15"/>
                <w:szCs w:val="15"/>
              </w:rPr>
              <w:t>2、根据</w:t>
            </w:r>
            <w:r>
              <w:rPr>
                <w:rFonts w:hint="eastAsia" w:ascii="宋体" w:hAnsi="宋体" w:eastAsia="宋体" w:cs="宋体"/>
                <w:sz w:val="15"/>
                <w:szCs w:val="15"/>
                <w:lang w:eastAsia="zh-CN"/>
              </w:rPr>
              <w:t>要求</w:t>
            </w:r>
            <w:r>
              <w:rPr>
                <w:rFonts w:hint="eastAsia" w:ascii="宋体" w:hAnsi="宋体" w:eastAsia="宋体" w:cs="宋体"/>
                <w:sz w:val="15"/>
                <w:szCs w:val="15"/>
              </w:rPr>
              <w:t>，推进“法治西城”建设，充分发挥法律专业人才在全面推进依法治区中的作用，街道司法所负责辖区内社区法律顾问的分配、调整、日常监督以及补贴发放等工作。白纸坊街道共19个社区，</w:t>
            </w:r>
            <w:r>
              <w:rPr>
                <w:rFonts w:hint="eastAsia" w:ascii="宋体" w:hAnsi="宋体" w:eastAsia="宋体" w:cs="宋体"/>
                <w:color w:val="000000" w:themeColor="text1"/>
                <w:sz w:val="15"/>
                <w:szCs w:val="15"/>
                <w14:textFill>
                  <w14:solidFill>
                    <w14:schemeClr w14:val="tx1"/>
                  </w14:solidFill>
                </w14:textFill>
              </w:rPr>
              <w:t>聘用了19名社区法律顾问，</w:t>
            </w:r>
            <w:r>
              <w:rPr>
                <w:rStyle w:val="5"/>
                <w:rFonts w:hint="eastAsia" w:hAnsi="宋体" w:cs="宋体"/>
                <w:sz w:val="15"/>
                <w:szCs w:val="15"/>
              </w:rPr>
              <w:t>向全年考核合格的签约律师事务所一次性全额发放社区法律顾问工作补贴，标准为每个社区8000元。</w:t>
            </w:r>
          </w:p>
          <w:p>
            <w:pPr>
              <w:widowControl/>
              <w:rPr>
                <w:rFonts w:ascii="宋体" w:hAnsi="宋体" w:eastAsia="宋体" w:cs="宋体"/>
                <w:sz w:val="15"/>
                <w:szCs w:val="15"/>
              </w:rPr>
            </w:pPr>
            <w:r>
              <w:rPr>
                <w:rFonts w:hint="eastAsia" w:ascii="宋体" w:hAnsi="宋体" w:eastAsia="宋体" w:cs="宋体"/>
                <w:sz w:val="15"/>
                <w:szCs w:val="15"/>
              </w:rPr>
              <w:t>3、按照要求，各街道治安纠纷联合调解室需2名专职调解员。</w:t>
            </w:r>
          </w:p>
        </w:tc>
        <w:tc>
          <w:tcPr>
            <w:tcW w:w="3668" w:type="dxa"/>
            <w:gridSpan w:val="5"/>
            <w:tcBorders>
              <w:tl2br w:val="nil"/>
              <w:tr2bl w:val="nil"/>
            </w:tcBorders>
            <w:vAlign w:val="center"/>
          </w:tcPr>
          <w:p>
            <w:pPr>
              <w:widowControl/>
              <w:rPr>
                <w:rFonts w:ascii="宋体" w:hAnsi="宋体" w:eastAsia="宋体" w:cs="宋体"/>
                <w:sz w:val="15"/>
                <w:szCs w:val="15"/>
              </w:rPr>
            </w:pPr>
            <w:r>
              <w:rPr>
                <w:rFonts w:hint="eastAsia" w:ascii="宋体" w:hAnsi="宋体" w:eastAsia="宋体" w:cs="宋体"/>
                <w:sz w:val="15"/>
                <w:szCs w:val="15"/>
              </w:rPr>
              <w:t>1、按照矫正帮教工作的要求，认真落实各项工作制度，做好矫正帮教对象的核实、接收、走访和建档等基础性工作，落实重大节假日和敏感时期的维稳工作要求，加强对矫正帮教人员的稳控和排查，及时为生活困难的矫正帮教人员提供帮扶和救助，确保矫正帮教人员的稳定。</w:t>
            </w:r>
          </w:p>
          <w:p>
            <w:pPr>
              <w:widowControl/>
              <w:rPr>
                <w:rFonts w:ascii="宋体" w:hAnsi="宋体" w:eastAsia="宋体" w:cs="宋体"/>
                <w:sz w:val="15"/>
                <w:szCs w:val="15"/>
              </w:rPr>
            </w:pPr>
            <w:r>
              <w:rPr>
                <w:rFonts w:hint="eastAsia" w:ascii="宋体" w:hAnsi="宋体" w:eastAsia="宋体" w:cs="宋体"/>
                <w:sz w:val="15"/>
                <w:szCs w:val="15"/>
              </w:rPr>
              <w:t>2、推进“法治西城”建设，充分发挥法律专业人才在全面推进依法治区中的作用，街道司法所负责辖区内社区法律顾问的分配、调整、日常监督以及补贴发放等工作。白纸坊街道共19个社区，</w:t>
            </w:r>
            <w:r>
              <w:rPr>
                <w:rFonts w:hint="eastAsia" w:ascii="宋体" w:hAnsi="宋体" w:eastAsia="宋体" w:cs="宋体"/>
                <w:color w:val="000000" w:themeColor="text1"/>
                <w:sz w:val="15"/>
                <w:szCs w:val="15"/>
                <w14:textFill>
                  <w14:solidFill>
                    <w14:schemeClr w14:val="tx1"/>
                  </w14:solidFill>
                </w14:textFill>
              </w:rPr>
              <w:t>聘用了19名社区法律顾问，</w:t>
            </w:r>
            <w:r>
              <w:rPr>
                <w:rStyle w:val="5"/>
                <w:rFonts w:hint="eastAsia" w:hAnsi="宋体" w:cs="宋体"/>
                <w:sz w:val="15"/>
                <w:szCs w:val="15"/>
              </w:rPr>
              <w:t>向全年考核合格的签约律师事务所一次性全额发放社区法律顾问工作补贴，标准为每个社区8000元。</w:t>
            </w:r>
          </w:p>
          <w:p>
            <w:pPr>
              <w:widowControl/>
              <w:rPr>
                <w:rFonts w:ascii="宋体" w:hAnsi="宋体" w:eastAsia="宋体" w:cs="宋体"/>
                <w:sz w:val="15"/>
                <w:szCs w:val="15"/>
              </w:rPr>
            </w:pPr>
            <w:r>
              <w:rPr>
                <w:rFonts w:hint="eastAsia" w:ascii="宋体" w:hAnsi="宋体" w:eastAsia="宋体" w:cs="宋体"/>
                <w:sz w:val="15"/>
                <w:szCs w:val="15"/>
              </w:rPr>
              <w:t>3、按照要求，各街道治安纠纷联合调解室需2名专职调解员。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绩</w:t>
            </w:r>
            <w:r>
              <w:rPr>
                <w:rFonts w:hint="eastAsia" w:ascii="宋体" w:hAnsi="宋体" w:eastAsia="宋体" w:cs="宋体"/>
                <w:sz w:val="18"/>
                <w:szCs w:val="18"/>
              </w:rPr>
              <w:br w:type="textWrapping"/>
            </w:r>
            <w:r>
              <w:rPr>
                <w:rFonts w:hint="eastAsia" w:ascii="宋体" w:hAnsi="宋体" w:eastAsia="宋体" w:cs="宋体"/>
                <w:sz w:val="18"/>
                <w:szCs w:val="18"/>
              </w:rPr>
              <w:t>效</w:t>
            </w:r>
            <w:r>
              <w:rPr>
                <w:rFonts w:hint="eastAsia" w:ascii="宋体" w:hAnsi="宋体" w:eastAsia="宋体" w:cs="宋体"/>
                <w:sz w:val="18"/>
                <w:szCs w:val="18"/>
              </w:rPr>
              <w:br w:type="textWrapping"/>
            </w:r>
            <w:r>
              <w:rPr>
                <w:rFonts w:hint="eastAsia" w:ascii="宋体" w:hAnsi="宋体" w:eastAsia="宋体" w:cs="宋体"/>
                <w:sz w:val="18"/>
                <w:szCs w:val="18"/>
              </w:rPr>
              <w:t>指</w:t>
            </w:r>
            <w:r>
              <w:rPr>
                <w:rFonts w:hint="eastAsia" w:ascii="宋体" w:hAnsi="宋体" w:eastAsia="宋体" w:cs="宋体"/>
                <w:sz w:val="18"/>
                <w:szCs w:val="18"/>
              </w:rPr>
              <w:br w:type="textWrapping"/>
            </w:r>
            <w:r>
              <w:rPr>
                <w:rFonts w:hint="eastAsia" w:ascii="宋体" w:hAnsi="宋体" w:eastAsia="宋体" w:cs="宋体"/>
                <w:sz w:val="18"/>
                <w:szCs w:val="18"/>
              </w:rPr>
              <w:t>标</w:t>
            </w:r>
          </w:p>
        </w:tc>
        <w:tc>
          <w:tcPr>
            <w:tcW w:w="680"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一级指标</w:t>
            </w:r>
          </w:p>
        </w:tc>
        <w:tc>
          <w:tcPr>
            <w:tcW w:w="110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二级指标</w:t>
            </w:r>
          </w:p>
        </w:tc>
        <w:tc>
          <w:tcPr>
            <w:tcW w:w="2381" w:type="dxa"/>
            <w:gridSpan w:val="3"/>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三级指标</w:t>
            </w:r>
          </w:p>
        </w:tc>
        <w:tc>
          <w:tcPr>
            <w:tcW w:w="105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年度</w:t>
            </w:r>
          </w:p>
          <w:p>
            <w:pPr>
              <w:widowControl/>
              <w:rPr>
                <w:rFonts w:ascii="宋体" w:hAnsi="宋体" w:eastAsia="宋体" w:cs="宋体"/>
                <w:sz w:val="18"/>
                <w:szCs w:val="18"/>
              </w:rPr>
            </w:pPr>
            <w:r>
              <w:rPr>
                <w:rFonts w:hint="eastAsia" w:ascii="宋体" w:hAnsi="宋体" w:eastAsia="宋体" w:cs="宋体"/>
                <w:sz w:val="18"/>
                <w:szCs w:val="18"/>
              </w:rPr>
              <w:t>指标值</w:t>
            </w:r>
          </w:p>
        </w:tc>
        <w:tc>
          <w:tcPr>
            <w:tcW w:w="1091"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实际</w:t>
            </w:r>
          </w:p>
          <w:p>
            <w:pPr>
              <w:widowControl/>
              <w:rPr>
                <w:rFonts w:ascii="宋体" w:hAnsi="宋体" w:eastAsia="宋体" w:cs="宋体"/>
                <w:sz w:val="18"/>
                <w:szCs w:val="18"/>
              </w:rPr>
            </w:pPr>
            <w:r>
              <w:rPr>
                <w:rFonts w:hint="eastAsia" w:ascii="宋体" w:hAnsi="宋体" w:eastAsia="宋体" w:cs="宋体"/>
                <w:sz w:val="18"/>
                <w:szCs w:val="18"/>
              </w:rPr>
              <w:t>完成值</w:t>
            </w:r>
          </w:p>
        </w:tc>
        <w:tc>
          <w:tcPr>
            <w:tcW w:w="750"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分值</w:t>
            </w:r>
          </w:p>
        </w:tc>
        <w:tc>
          <w:tcPr>
            <w:tcW w:w="523"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得分</w:t>
            </w:r>
          </w:p>
        </w:tc>
        <w:tc>
          <w:tcPr>
            <w:tcW w:w="1304" w:type="dxa"/>
            <w:gridSpan w:val="2"/>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产出指标</w:t>
            </w:r>
          </w:p>
        </w:tc>
        <w:tc>
          <w:tcPr>
            <w:tcW w:w="1105" w:type="dxa"/>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数量指标</w:t>
            </w: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指标1：</w:t>
            </w:r>
            <w:r>
              <w:rPr>
                <w:rFonts w:hint="eastAsia" w:ascii="宋体" w:hAnsi="宋体" w:eastAsia="宋体" w:cs="宋体"/>
                <w:sz w:val="18"/>
                <w:szCs w:val="18"/>
              </w:rPr>
              <w:t>矫正帮教专职司法社工</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4名</w:t>
            </w:r>
          </w:p>
        </w:tc>
        <w:tc>
          <w:tcPr>
            <w:tcW w:w="1091"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4名</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continue"/>
            <w:tcBorders>
              <w:tl2br w:val="nil"/>
              <w:tr2bl w:val="nil"/>
            </w:tcBorders>
            <w:vAlign w:val="center"/>
          </w:tcPr>
          <w:p>
            <w:pPr>
              <w:widowControl/>
              <w:rPr>
                <w:rFonts w:ascii="宋体" w:hAnsi="宋体" w:eastAsia="宋体" w:cs="宋体"/>
                <w:sz w:val="18"/>
                <w:szCs w:val="18"/>
              </w:rPr>
            </w:pP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指标2：</w:t>
            </w:r>
            <w:r>
              <w:rPr>
                <w:rFonts w:hint="eastAsia" w:ascii="宋体" w:hAnsi="宋体" w:eastAsia="宋体" w:cs="宋体"/>
                <w:color w:val="000000" w:themeColor="text1"/>
                <w:sz w:val="18"/>
                <w:szCs w:val="18"/>
                <w14:textFill>
                  <w14:solidFill>
                    <w14:schemeClr w14:val="tx1"/>
                  </w14:solidFill>
                </w14:textFill>
              </w:rPr>
              <w:t>社区法律顾问</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19名</w:t>
            </w:r>
          </w:p>
        </w:tc>
        <w:tc>
          <w:tcPr>
            <w:tcW w:w="1091"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19名</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continue"/>
            <w:tcBorders>
              <w:tl2br w:val="nil"/>
              <w:tr2bl w:val="nil"/>
            </w:tcBorders>
            <w:vAlign w:val="center"/>
          </w:tcPr>
          <w:p>
            <w:pPr>
              <w:widowControl/>
              <w:rPr>
                <w:rFonts w:ascii="宋体" w:hAnsi="宋体" w:eastAsia="宋体" w:cs="宋体"/>
                <w:sz w:val="18"/>
                <w:szCs w:val="18"/>
              </w:rPr>
            </w:pP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指标3：</w:t>
            </w:r>
            <w:r>
              <w:rPr>
                <w:rFonts w:hint="eastAsia" w:ascii="宋体" w:hAnsi="宋体" w:eastAsia="宋体" w:cs="宋体"/>
                <w:sz w:val="18"/>
                <w:szCs w:val="18"/>
              </w:rPr>
              <w:t>治安纠纷联合调解室专职调解员</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2名</w:t>
            </w:r>
          </w:p>
        </w:tc>
        <w:tc>
          <w:tcPr>
            <w:tcW w:w="1091"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2名</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质量指标</w:t>
            </w: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指标1：重大</w:t>
            </w:r>
            <w:r>
              <w:rPr>
                <w:rFonts w:hint="eastAsia" w:ascii="宋体" w:hAnsi="宋体" w:eastAsia="宋体" w:cs="宋体"/>
                <w:color w:val="000000"/>
                <w:kern w:val="0"/>
                <w:sz w:val="18"/>
                <w:szCs w:val="18"/>
                <w:lang w:eastAsia="zh-CN"/>
              </w:rPr>
              <w:t>节日</w:t>
            </w:r>
            <w:bookmarkStart w:id="1" w:name="_GoBack"/>
            <w:bookmarkEnd w:id="1"/>
            <w:r>
              <w:rPr>
                <w:rFonts w:hint="eastAsia" w:ascii="宋体" w:hAnsi="宋体" w:eastAsia="宋体" w:cs="宋体"/>
                <w:color w:val="000000"/>
                <w:kern w:val="0"/>
                <w:sz w:val="18"/>
                <w:szCs w:val="18"/>
              </w:rPr>
              <w:t>时期</w:t>
            </w:r>
            <w:r>
              <w:rPr>
                <w:rFonts w:hint="eastAsia" w:ascii="宋体" w:hAnsi="宋体" w:eastAsia="宋体" w:cs="宋体"/>
                <w:sz w:val="18"/>
                <w:szCs w:val="18"/>
              </w:rPr>
              <w:t>矫正帮教对象覆盖率</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达到100%</w:t>
            </w:r>
          </w:p>
        </w:tc>
        <w:tc>
          <w:tcPr>
            <w:tcW w:w="1091" w:type="dxa"/>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color w:val="000000"/>
                <w:kern w:val="0"/>
                <w:sz w:val="18"/>
                <w:szCs w:val="18"/>
              </w:rPr>
              <w:t>达到100%</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continue"/>
            <w:tcBorders>
              <w:tl2br w:val="nil"/>
              <w:tr2bl w:val="nil"/>
            </w:tcBorders>
            <w:vAlign w:val="center"/>
          </w:tcPr>
          <w:p>
            <w:pPr>
              <w:widowControl/>
              <w:rPr>
                <w:rFonts w:ascii="宋体" w:hAnsi="宋体" w:eastAsia="宋体" w:cs="宋体"/>
                <w:sz w:val="18"/>
                <w:szCs w:val="18"/>
              </w:rPr>
            </w:pP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指标2：</w:t>
            </w:r>
            <w:r>
              <w:rPr>
                <w:rFonts w:hint="eastAsia" w:ascii="宋体" w:hAnsi="宋体" w:eastAsia="宋体" w:cs="宋体"/>
                <w:color w:val="000000" w:themeColor="text1"/>
                <w:sz w:val="18"/>
                <w:szCs w:val="18"/>
                <w14:textFill>
                  <w14:solidFill>
                    <w14:schemeClr w14:val="tx1"/>
                  </w14:solidFill>
                </w14:textFill>
              </w:rPr>
              <w:t>社区法律顾问服务</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每季度社区至少开展一次活动</w:t>
            </w:r>
          </w:p>
        </w:tc>
        <w:tc>
          <w:tcPr>
            <w:tcW w:w="1091" w:type="dxa"/>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kern w:val="0"/>
                <w:sz w:val="18"/>
                <w:szCs w:val="18"/>
              </w:rPr>
              <w:t>每季度社区至少开展一次活动</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continue"/>
            <w:tcBorders>
              <w:tl2br w:val="nil"/>
              <w:tr2bl w:val="nil"/>
            </w:tcBorders>
            <w:vAlign w:val="center"/>
          </w:tcPr>
          <w:p>
            <w:pPr>
              <w:widowControl/>
              <w:rPr>
                <w:rFonts w:ascii="宋体" w:hAnsi="宋体" w:eastAsia="宋体" w:cs="宋体"/>
                <w:sz w:val="18"/>
                <w:szCs w:val="18"/>
              </w:rPr>
            </w:pP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指标3：</w:t>
            </w:r>
            <w:r>
              <w:rPr>
                <w:rFonts w:hint="eastAsia" w:ascii="宋体" w:hAnsi="宋体" w:eastAsia="宋体" w:cs="宋体"/>
                <w:sz w:val="18"/>
                <w:szCs w:val="18"/>
              </w:rPr>
              <w:t>治安纠纷联合调解室专职调解员</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每周工作日开展治安纠纷调解</w:t>
            </w:r>
          </w:p>
        </w:tc>
        <w:tc>
          <w:tcPr>
            <w:tcW w:w="1091" w:type="dxa"/>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kern w:val="0"/>
                <w:sz w:val="18"/>
                <w:szCs w:val="18"/>
              </w:rPr>
              <w:t>每周工作日开展治安纠纷调解</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时效指标</w:t>
            </w: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指标1：开展</w:t>
            </w:r>
            <w:r>
              <w:rPr>
                <w:rFonts w:hint="eastAsia" w:ascii="宋体" w:hAnsi="宋体" w:eastAsia="宋体" w:cs="宋体"/>
                <w:sz w:val="18"/>
                <w:szCs w:val="18"/>
              </w:rPr>
              <w:t>矫正帮教工作</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重大节假日和敏感时期</w:t>
            </w:r>
          </w:p>
        </w:tc>
        <w:tc>
          <w:tcPr>
            <w:tcW w:w="1091"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重大节假日和敏感时期</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成本指标</w:t>
            </w:r>
          </w:p>
        </w:tc>
        <w:tc>
          <w:tcPr>
            <w:tcW w:w="2381" w:type="dxa"/>
            <w:gridSpan w:val="3"/>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color w:val="000000"/>
                <w:kern w:val="0"/>
                <w:sz w:val="18"/>
                <w:szCs w:val="18"/>
              </w:rPr>
              <w:t>指标1：</w:t>
            </w:r>
            <w:r>
              <w:rPr>
                <w:rFonts w:hint="eastAsia" w:ascii="宋体" w:hAnsi="宋体" w:eastAsia="宋体" w:cs="宋体"/>
                <w:sz w:val="18"/>
                <w:szCs w:val="18"/>
              </w:rPr>
              <w:t>矫正帮教工作</w:t>
            </w:r>
          </w:p>
        </w:tc>
        <w:tc>
          <w:tcPr>
            <w:tcW w:w="1055" w:type="dxa"/>
            <w:tcBorders>
              <w:tl2br w:val="nil"/>
              <w:tr2bl w:val="nil"/>
            </w:tcBorders>
            <w:vAlign w:val="center"/>
          </w:tcPr>
          <w:p>
            <w:pPr>
              <w:widowControl/>
              <w:spacing w:line="240" w:lineRule="exact"/>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2.00万元</w:t>
            </w:r>
          </w:p>
        </w:tc>
        <w:tc>
          <w:tcPr>
            <w:tcW w:w="1091" w:type="dxa"/>
            <w:tcBorders>
              <w:tl2br w:val="nil"/>
              <w:tr2bl w:val="nil"/>
            </w:tcBorders>
            <w:vAlign w:val="center"/>
          </w:tcPr>
          <w:p>
            <w:pPr>
              <w:widowControl/>
              <w:spacing w:line="240" w:lineRule="exact"/>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1.10万元</w:t>
            </w:r>
          </w:p>
        </w:tc>
        <w:tc>
          <w:tcPr>
            <w:tcW w:w="750" w:type="dxa"/>
            <w:tcBorders>
              <w:tl2br w:val="nil"/>
              <w:tr2bl w:val="nil"/>
            </w:tcBorders>
            <w:vAlign w:val="center"/>
          </w:tcPr>
          <w:p>
            <w:pPr>
              <w:widowControl/>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c>
          <w:tcPr>
            <w:tcW w:w="523" w:type="dxa"/>
            <w:tcBorders>
              <w:tl2br w:val="nil"/>
              <w:tr2bl w:val="nil"/>
            </w:tcBorders>
            <w:vAlign w:val="center"/>
          </w:tcPr>
          <w:p>
            <w:pPr>
              <w:widowControl/>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1304" w:type="dxa"/>
            <w:gridSpan w:val="2"/>
            <w:tcBorders>
              <w:tl2br w:val="nil"/>
              <w:tr2bl w:val="nil"/>
            </w:tcBorders>
            <w:vAlign w:val="center"/>
          </w:tcPr>
          <w:p>
            <w:pPr>
              <w:widowControl/>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针对刑满释放的三无人员进行安置。是否有三无人员刑满释放，事先无法知晓。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continue"/>
            <w:tcBorders>
              <w:tl2br w:val="nil"/>
              <w:tr2bl w:val="nil"/>
            </w:tcBorders>
            <w:vAlign w:val="center"/>
          </w:tcPr>
          <w:p>
            <w:pPr>
              <w:widowControl/>
              <w:rPr>
                <w:rFonts w:ascii="宋体" w:hAnsi="宋体" w:eastAsia="宋体" w:cs="宋体"/>
                <w:sz w:val="18"/>
                <w:szCs w:val="18"/>
              </w:rPr>
            </w:pPr>
          </w:p>
        </w:tc>
        <w:tc>
          <w:tcPr>
            <w:tcW w:w="2381" w:type="dxa"/>
            <w:gridSpan w:val="3"/>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color w:val="000000"/>
                <w:kern w:val="0"/>
                <w:sz w:val="18"/>
                <w:szCs w:val="18"/>
              </w:rPr>
              <w:t>指标2：</w:t>
            </w:r>
            <w:r>
              <w:rPr>
                <w:rFonts w:hint="eastAsia" w:ascii="宋体" w:hAnsi="宋体" w:eastAsia="宋体" w:cs="宋体"/>
                <w:color w:val="000000" w:themeColor="text1"/>
                <w:sz w:val="18"/>
                <w:szCs w:val="18"/>
                <w14:textFill>
                  <w14:solidFill>
                    <w14:schemeClr w14:val="tx1"/>
                  </w14:solidFill>
                </w14:textFill>
              </w:rPr>
              <w:t>社区法律顾问服务</w:t>
            </w:r>
          </w:p>
        </w:tc>
        <w:tc>
          <w:tcPr>
            <w:tcW w:w="1055" w:type="dxa"/>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kern w:val="0"/>
                <w:sz w:val="18"/>
                <w:szCs w:val="18"/>
              </w:rPr>
              <w:t>15.20万元</w:t>
            </w:r>
          </w:p>
        </w:tc>
        <w:tc>
          <w:tcPr>
            <w:tcW w:w="1091" w:type="dxa"/>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kern w:val="0"/>
                <w:sz w:val="18"/>
                <w:szCs w:val="18"/>
              </w:rPr>
              <w:t>15.20万元</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vMerge w:val="continue"/>
            <w:tcBorders>
              <w:tl2br w:val="nil"/>
              <w:tr2bl w:val="nil"/>
            </w:tcBorders>
            <w:vAlign w:val="center"/>
          </w:tcPr>
          <w:p>
            <w:pPr>
              <w:widowControl/>
              <w:rPr>
                <w:rFonts w:ascii="宋体" w:hAnsi="宋体" w:eastAsia="宋体" w:cs="宋体"/>
                <w:sz w:val="18"/>
                <w:szCs w:val="18"/>
              </w:rPr>
            </w:pPr>
          </w:p>
        </w:tc>
        <w:tc>
          <w:tcPr>
            <w:tcW w:w="2381" w:type="dxa"/>
            <w:gridSpan w:val="3"/>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color w:val="000000"/>
                <w:kern w:val="0"/>
                <w:sz w:val="18"/>
                <w:szCs w:val="18"/>
              </w:rPr>
              <w:t>指标3：</w:t>
            </w:r>
            <w:r>
              <w:rPr>
                <w:rFonts w:hint="eastAsia" w:ascii="宋体" w:hAnsi="宋体" w:eastAsia="宋体" w:cs="宋体"/>
                <w:sz w:val="18"/>
                <w:szCs w:val="18"/>
              </w:rPr>
              <w:t>治安纠纷联合调解室专职调解员。</w:t>
            </w:r>
          </w:p>
        </w:tc>
        <w:tc>
          <w:tcPr>
            <w:tcW w:w="1055" w:type="dxa"/>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kern w:val="0"/>
                <w:sz w:val="18"/>
                <w:szCs w:val="18"/>
              </w:rPr>
              <w:t>7.20万元</w:t>
            </w:r>
          </w:p>
        </w:tc>
        <w:tc>
          <w:tcPr>
            <w:tcW w:w="1091" w:type="dxa"/>
            <w:tcBorders>
              <w:tl2br w:val="nil"/>
              <w:tr2bl w:val="nil"/>
            </w:tcBorders>
            <w:vAlign w:val="center"/>
          </w:tcPr>
          <w:p>
            <w:pPr>
              <w:widowControl/>
              <w:spacing w:line="240" w:lineRule="exact"/>
              <w:jc w:val="left"/>
              <w:rPr>
                <w:rFonts w:ascii="宋体" w:hAnsi="宋体" w:eastAsia="宋体" w:cs="宋体"/>
                <w:sz w:val="18"/>
                <w:szCs w:val="18"/>
              </w:rPr>
            </w:pPr>
            <w:r>
              <w:rPr>
                <w:rFonts w:hint="eastAsia" w:ascii="宋体" w:hAnsi="宋体" w:eastAsia="宋体" w:cs="宋体"/>
                <w:kern w:val="0"/>
                <w:sz w:val="18"/>
                <w:szCs w:val="18"/>
              </w:rPr>
              <w:t>7.20万元</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5</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restart"/>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效益指标</w:t>
            </w:r>
          </w:p>
        </w:tc>
        <w:tc>
          <w:tcPr>
            <w:tcW w:w="110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经济效益</w:t>
            </w:r>
          </w:p>
          <w:p>
            <w:pPr>
              <w:widowControl/>
              <w:rPr>
                <w:rFonts w:ascii="宋体" w:hAnsi="宋体" w:eastAsia="宋体" w:cs="宋体"/>
                <w:sz w:val="18"/>
                <w:szCs w:val="18"/>
              </w:rPr>
            </w:pPr>
            <w:r>
              <w:rPr>
                <w:rFonts w:hint="eastAsia" w:ascii="宋体" w:hAnsi="宋体" w:eastAsia="宋体" w:cs="宋体"/>
                <w:sz w:val="18"/>
                <w:szCs w:val="18"/>
              </w:rPr>
              <w:t>指标</w:t>
            </w: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不涉及</w:t>
            </w:r>
          </w:p>
        </w:tc>
        <w:tc>
          <w:tcPr>
            <w:tcW w:w="1055" w:type="dxa"/>
            <w:tcBorders>
              <w:tl2br w:val="nil"/>
              <w:tr2bl w:val="nil"/>
            </w:tcBorders>
            <w:vAlign w:val="center"/>
          </w:tcPr>
          <w:p>
            <w:pPr>
              <w:widowControl/>
              <w:jc w:val="left"/>
              <w:rPr>
                <w:rFonts w:ascii="宋体" w:hAnsi="宋体" w:eastAsia="宋体" w:cs="宋体"/>
                <w:sz w:val="18"/>
                <w:szCs w:val="18"/>
              </w:rPr>
            </w:pPr>
          </w:p>
        </w:tc>
        <w:tc>
          <w:tcPr>
            <w:tcW w:w="1091" w:type="dxa"/>
            <w:tcBorders>
              <w:tl2br w:val="nil"/>
              <w:tr2bl w:val="nil"/>
            </w:tcBorders>
            <w:vAlign w:val="center"/>
          </w:tcPr>
          <w:p>
            <w:pPr>
              <w:widowControl/>
              <w:jc w:val="left"/>
              <w:rPr>
                <w:rFonts w:ascii="宋体" w:hAnsi="宋体" w:eastAsia="宋体" w:cs="宋体"/>
                <w:sz w:val="18"/>
                <w:szCs w:val="18"/>
              </w:rPr>
            </w:pPr>
          </w:p>
        </w:tc>
        <w:tc>
          <w:tcPr>
            <w:tcW w:w="750" w:type="dxa"/>
            <w:tcBorders>
              <w:tl2br w:val="nil"/>
              <w:tr2bl w:val="nil"/>
            </w:tcBorders>
            <w:vAlign w:val="center"/>
          </w:tcPr>
          <w:p>
            <w:pPr>
              <w:widowControl/>
              <w:jc w:val="center"/>
              <w:rPr>
                <w:rFonts w:ascii="宋体" w:hAnsi="宋体" w:eastAsia="宋体" w:cs="宋体"/>
                <w:sz w:val="18"/>
                <w:szCs w:val="18"/>
              </w:rPr>
            </w:pPr>
          </w:p>
        </w:tc>
        <w:tc>
          <w:tcPr>
            <w:tcW w:w="523" w:type="dxa"/>
            <w:tcBorders>
              <w:tl2br w:val="nil"/>
              <w:tr2bl w:val="nil"/>
            </w:tcBorders>
            <w:vAlign w:val="center"/>
          </w:tcPr>
          <w:p>
            <w:pPr>
              <w:widowControl/>
              <w:jc w:val="center"/>
              <w:rPr>
                <w:rFonts w:ascii="宋体" w:hAnsi="宋体" w:eastAsia="宋体" w:cs="宋体"/>
                <w:sz w:val="18"/>
                <w:szCs w:val="18"/>
              </w:rPr>
            </w:pP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社会效益</w:t>
            </w:r>
          </w:p>
          <w:p>
            <w:pPr>
              <w:widowControl/>
              <w:rPr>
                <w:rFonts w:ascii="宋体" w:hAnsi="宋体" w:eastAsia="宋体" w:cs="宋体"/>
                <w:sz w:val="18"/>
                <w:szCs w:val="18"/>
              </w:rPr>
            </w:pPr>
            <w:r>
              <w:rPr>
                <w:rFonts w:hint="eastAsia" w:ascii="宋体" w:hAnsi="宋体" w:eastAsia="宋体" w:cs="宋体"/>
                <w:sz w:val="18"/>
                <w:szCs w:val="18"/>
              </w:rPr>
              <w:t>指标</w:t>
            </w:r>
          </w:p>
        </w:tc>
        <w:tc>
          <w:tcPr>
            <w:tcW w:w="2381" w:type="dxa"/>
            <w:gridSpan w:val="3"/>
            <w:tcBorders>
              <w:tl2br w:val="nil"/>
              <w:tr2bl w:val="nil"/>
            </w:tcBorders>
            <w:vAlign w:val="center"/>
          </w:tcPr>
          <w:p>
            <w:pPr>
              <w:widowControl/>
              <w:jc w:val="left"/>
              <w:rPr>
                <w:rFonts w:ascii="宋体" w:hAnsi="宋体" w:eastAsia="宋体" w:cs="宋体"/>
                <w:sz w:val="15"/>
                <w:szCs w:val="15"/>
              </w:rPr>
            </w:pPr>
            <w:r>
              <w:rPr>
                <w:rFonts w:hint="eastAsia" w:ascii="宋体" w:hAnsi="宋体" w:eastAsia="宋体" w:cs="宋体"/>
                <w:color w:val="000000"/>
                <w:kern w:val="0"/>
                <w:sz w:val="15"/>
                <w:szCs w:val="15"/>
              </w:rPr>
              <w:t>指标</w:t>
            </w:r>
            <w:r>
              <w:rPr>
                <w:rFonts w:hint="eastAsia" w:ascii="宋体" w:hAnsi="宋体" w:eastAsia="宋体" w:cs="宋体"/>
                <w:sz w:val="15"/>
                <w:szCs w:val="15"/>
              </w:rPr>
              <w:t>1、按照矫正帮教工作的要求，认真落实各项工作制度，做好矫正帮教对象的核实、接收、走访和建档等基础性工作，落实重大节假日和敏感时期的维稳工作要求，加强对矫正帮教人员的稳控和排查，及时为生活困难的矫正帮教人员提供帮扶和救助，确保矫正帮教人员的稳定。</w:t>
            </w:r>
          </w:p>
          <w:p>
            <w:pPr>
              <w:widowControl/>
              <w:jc w:val="left"/>
              <w:rPr>
                <w:rFonts w:ascii="宋体" w:hAnsi="宋体" w:eastAsia="宋体" w:cs="宋体"/>
                <w:sz w:val="15"/>
                <w:szCs w:val="15"/>
              </w:rPr>
            </w:pPr>
            <w:r>
              <w:rPr>
                <w:rFonts w:hint="eastAsia" w:ascii="宋体" w:hAnsi="宋体" w:eastAsia="宋体" w:cs="宋体"/>
                <w:sz w:val="15"/>
                <w:szCs w:val="15"/>
              </w:rPr>
              <w:t>2、为推进“法治西城”建设，充分发挥法律专业人才在全面推进依法治区中的作用，街道司法所负责辖区内社区法律顾问的分配、调整、日常监督以及补贴发放等工作。白纸坊街道共19个社区，聘用了19名社区法律顾问，向全年考核合格的签约律师事务所一次性全额发放社区法律顾问工作补贴，标准为每个社区8000元。</w:t>
            </w:r>
          </w:p>
          <w:p>
            <w:pPr>
              <w:widowControl/>
              <w:jc w:val="left"/>
              <w:rPr>
                <w:rFonts w:ascii="宋体" w:hAnsi="宋体" w:eastAsia="宋体" w:cs="宋体"/>
                <w:sz w:val="18"/>
                <w:szCs w:val="18"/>
              </w:rPr>
            </w:pPr>
            <w:r>
              <w:rPr>
                <w:rFonts w:hint="eastAsia" w:ascii="宋体" w:hAnsi="宋体" w:eastAsia="宋体" w:cs="宋体"/>
                <w:sz w:val="15"/>
                <w:szCs w:val="15"/>
              </w:rPr>
              <w:t>3、治安纠纷联合调解室专职</w:t>
            </w:r>
            <w:r>
              <w:fldChar w:fldCharType="begin"/>
            </w:r>
            <w:r>
              <w:instrText xml:space="preserve"> HYPERLINK "https://baike.baidu.com/item/%E8%B0%83%E8%A7%A3%E5%91%98/7190162" \t "_blank" </w:instrText>
            </w:r>
            <w:r>
              <w:fldChar w:fldCharType="separate"/>
            </w:r>
            <w:r>
              <w:rPr>
                <w:rFonts w:hint="eastAsia" w:ascii="宋体" w:hAnsi="宋体" w:eastAsia="宋体" w:cs="宋体"/>
                <w:sz w:val="15"/>
                <w:szCs w:val="15"/>
              </w:rPr>
              <w:t>调解员</w:t>
            </w:r>
            <w:r>
              <w:rPr>
                <w:rFonts w:hint="eastAsia" w:ascii="宋体" w:hAnsi="宋体" w:eastAsia="宋体" w:cs="宋体"/>
                <w:sz w:val="15"/>
                <w:szCs w:val="15"/>
              </w:rPr>
              <w:fldChar w:fldCharType="end"/>
            </w:r>
            <w:r>
              <w:rPr>
                <w:rFonts w:hint="eastAsia" w:ascii="宋体" w:hAnsi="宋体" w:eastAsia="宋体" w:cs="宋体"/>
                <w:sz w:val="15"/>
                <w:szCs w:val="15"/>
              </w:rPr>
              <w:t>的调解工作严格按照在依法、自愿、平等、尊重当事人诉讼权利的原则下开展调解工作。要熟练掌握应当掌握的全面情况和事件的全过程，要以法律为依据，以说服教育和引导的方法指出其过错和应当承担的责任。为辖区居民提供无偿法律服务，促进和维护辖区和谐稳定。</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达到预期</w:t>
            </w:r>
          </w:p>
        </w:tc>
        <w:tc>
          <w:tcPr>
            <w:tcW w:w="1091"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达到预期</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20</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20</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生态效益</w:t>
            </w:r>
          </w:p>
          <w:p>
            <w:pPr>
              <w:widowControl/>
              <w:rPr>
                <w:rFonts w:ascii="宋体" w:hAnsi="宋体" w:eastAsia="宋体" w:cs="宋体"/>
                <w:sz w:val="18"/>
                <w:szCs w:val="18"/>
              </w:rPr>
            </w:pPr>
            <w:r>
              <w:rPr>
                <w:rFonts w:hint="eastAsia" w:ascii="宋体" w:hAnsi="宋体" w:eastAsia="宋体" w:cs="宋体"/>
                <w:sz w:val="18"/>
                <w:szCs w:val="18"/>
              </w:rPr>
              <w:t>指标</w:t>
            </w: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不涉及</w:t>
            </w:r>
          </w:p>
        </w:tc>
        <w:tc>
          <w:tcPr>
            <w:tcW w:w="1055" w:type="dxa"/>
            <w:tcBorders>
              <w:tl2br w:val="nil"/>
              <w:tr2bl w:val="nil"/>
            </w:tcBorders>
            <w:vAlign w:val="center"/>
          </w:tcPr>
          <w:p>
            <w:pPr>
              <w:widowControl/>
              <w:jc w:val="left"/>
              <w:rPr>
                <w:rFonts w:ascii="宋体" w:hAnsi="宋体" w:eastAsia="宋体" w:cs="宋体"/>
                <w:sz w:val="18"/>
                <w:szCs w:val="18"/>
              </w:rPr>
            </w:pPr>
          </w:p>
        </w:tc>
        <w:tc>
          <w:tcPr>
            <w:tcW w:w="1091" w:type="dxa"/>
            <w:tcBorders>
              <w:tl2br w:val="nil"/>
              <w:tr2bl w:val="nil"/>
            </w:tcBorders>
            <w:vAlign w:val="center"/>
          </w:tcPr>
          <w:p>
            <w:pPr>
              <w:widowControl/>
              <w:jc w:val="left"/>
              <w:rPr>
                <w:rFonts w:ascii="宋体" w:hAnsi="宋体" w:eastAsia="宋体" w:cs="宋体"/>
                <w:sz w:val="18"/>
                <w:szCs w:val="18"/>
              </w:rPr>
            </w:pPr>
          </w:p>
        </w:tc>
        <w:tc>
          <w:tcPr>
            <w:tcW w:w="750" w:type="dxa"/>
            <w:tcBorders>
              <w:tl2br w:val="nil"/>
              <w:tr2bl w:val="nil"/>
            </w:tcBorders>
            <w:vAlign w:val="center"/>
          </w:tcPr>
          <w:p>
            <w:pPr>
              <w:widowControl/>
              <w:jc w:val="center"/>
              <w:rPr>
                <w:rFonts w:ascii="宋体" w:hAnsi="宋体" w:eastAsia="宋体" w:cs="宋体"/>
                <w:sz w:val="18"/>
                <w:szCs w:val="18"/>
              </w:rPr>
            </w:pPr>
          </w:p>
        </w:tc>
        <w:tc>
          <w:tcPr>
            <w:tcW w:w="523" w:type="dxa"/>
            <w:tcBorders>
              <w:tl2br w:val="nil"/>
              <w:tr2bl w:val="nil"/>
            </w:tcBorders>
            <w:vAlign w:val="center"/>
          </w:tcPr>
          <w:p>
            <w:pPr>
              <w:widowControl/>
              <w:jc w:val="center"/>
              <w:rPr>
                <w:rFonts w:ascii="宋体" w:hAnsi="宋体" w:eastAsia="宋体" w:cs="宋体"/>
                <w:sz w:val="18"/>
                <w:szCs w:val="18"/>
              </w:rPr>
            </w:pP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vMerge w:val="continue"/>
            <w:tcBorders>
              <w:tl2br w:val="nil"/>
              <w:tr2bl w:val="nil"/>
            </w:tcBorders>
            <w:vAlign w:val="center"/>
          </w:tcPr>
          <w:p>
            <w:pPr>
              <w:widowControl/>
              <w:rPr>
                <w:rFonts w:ascii="宋体" w:hAnsi="宋体" w:eastAsia="宋体" w:cs="宋体"/>
                <w:sz w:val="18"/>
                <w:szCs w:val="18"/>
              </w:rPr>
            </w:pPr>
          </w:p>
        </w:tc>
        <w:tc>
          <w:tcPr>
            <w:tcW w:w="110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可持续影响指标</w:t>
            </w: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w:t>
            </w:r>
            <w:r>
              <w:rPr>
                <w:rFonts w:hint="eastAsia" w:ascii="宋体" w:hAnsi="宋体" w:eastAsia="宋体" w:cs="宋体"/>
                <w:kern w:val="0"/>
                <w:sz w:val="18"/>
                <w:szCs w:val="18"/>
              </w:rPr>
              <w:t>1：通过对</w:t>
            </w:r>
            <w:r>
              <w:rPr>
                <w:rFonts w:hint="eastAsia" w:ascii="宋体" w:hAnsi="宋体" w:eastAsia="宋体" w:cs="宋体"/>
                <w:sz w:val="18"/>
                <w:szCs w:val="18"/>
              </w:rPr>
              <w:t>矫正帮教人员的稳控和排查，为生活困难的矫正帮教人员提供帮扶和救助确保矫正帮教人员的稳定，持续促进社会稳定</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达到预期</w:t>
            </w:r>
          </w:p>
        </w:tc>
        <w:tc>
          <w:tcPr>
            <w:tcW w:w="1091"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达到预期</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10</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10</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l2br w:val="nil"/>
              <w:tr2bl w:val="nil"/>
            </w:tcBorders>
            <w:vAlign w:val="center"/>
          </w:tcPr>
          <w:p>
            <w:pPr>
              <w:widowControl/>
              <w:rPr>
                <w:rFonts w:ascii="宋体" w:hAnsi="宋体" w:eastAsia="宋体" w:cs="宋体"/>
                <w:sz w:val="18"/>
                <w:szCs w:val="18"/>
              </w:rPr>
            </w:pPr>
          </w:p>
        </w:tc>
        <w:tc>
          <w:tcPr>
            <w:tcW w:w="680"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满意度</w:t>
            </w:r>
          </w:p>
          <w:p>
            <w:pPr>
              <w:widowControl/>
              <w:rPr>
                <w:rFonts w:ascii="宋体" w:hAnsi="宋体" w:eastAsia="宋体" w:cs="宋体"/>
                <w:sz w:val="18"/>
                <w:szCs w:val="18"/>
              </w:rPr>
            </w:pPr>
            <w:r>
              <w:rPr>
                <w:rFonts w:hint="eastAsia" w:ascii="宋体" w:hAnsi="宋体" w:eastAsia="宋体" w:cs="宋体"/>
                <w:sz w:val="18"/>
                <w:szCs w:val="18"/>
              </w:rPr>
              <w:t>指标</w:t>
            </w:r>
          </w:p>
        </w:tc>
        <w:tc>
          <w:tcPr>
            <w:tcW w:w="1105" w:type="dxa"/>
            <w:tcBorders>
              <w:tl2br w:val="nil"/>
              <w:tr2bl w:val="nil"/>
            </w:tcBorders>
            <w:vAlign w:val="center"/>
          </w:tcPr>
          <w:p>
            <w:pPr>
              <w:widowControl/>
              <w:rPr>
                <w:rFonts w:ascii="宋体" w:hAnsi="宋体" w:eastAsia="宋体" w:cs="宋体"/>
                <w:sz w:val="18"/>
                <w:szCs w:val="18"/>
              </w:rPr>
            </w:pPr>
            <w:r>
              <w:rPr>
                <w:rFonts w:hint="eastAsia" w:ascii="宋体" w:hAnsi="宋体" w:eastAsia="宋体" w:cs="宋体"/>
                <w:sz w:val="18"/>
                <w:szCs w:val="18"/>
              </w:rPr>
              <w:t>服务对象满意度指标</w:t>
            </w:r>
          </w:p>
        </w:tc>
        <w:tc>
          <w:tcPr>
            <w:tcW w:w="2381" w:type="dxa"/>
            <w:gridSpan w:val="3"/>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color w:val="000000"/>
                <w:kern w:val="0"/>
                <w:sz w:val="18"/>
                <w:szCs w:val="18"/>
              </w:rPr>
              <w:t>指标</w:t>
            </w:r>
            <w:r>
              <w:rPr>
                <w:rFonts w:hint="eastAsia" w:ascii="宋体" w:hAnsi="宋体" w:eastAsia="宋体" w:cs="宋体"/>
                <w:kern w:val="0"/>
                <w:sz w:val="18"/>
                <w:szCs w:val="18"/>
              </w:rPr>
              <w:t>1：1、</w:t>
            </w:r>
            <w:r>
              <w:rPr>
                <w:rFonts w:hint="eastAsia" w:ascii="宋体" w:hAnsi="宋体" w:eastAsia="宋体" w:cs="宋体"/>
                <w:sz w:val="18"/>
                <w:szCs w:val="18"/>
              </w:rPr>
              <w:t>帮扶对象意度2、辖区居民满意度</w:t>
            </w:r>
          </w:p>
        </w:tc>
        <w:tc>
          <w:tcPr>
            <w:tcW w:w="1055"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≥95%</w:t>
            </w:r>
          </w:p>
        </w:tc>
        <w:tc>
          <w:tcPr>
            <w:tcW w:w="1091" w:type="dxa"/>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kern w:val="0"/>
                <w:sz w:val="18"/>
                <w:szCs w:val="18"/>
              </w:rPr>
              <w:t>≥95%</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10</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10</w:t>
            </w:r>
          </w:p>
        </w:tc>
        <w:tc>
          <w:tcPr>
            <w:tcW w:w="1304" w:type="dxa"/>
            <w:gridSpan w:val="2"/>
            <w:tcBorders>
              <w:tl2br w:val="nil"/>
              <w:tr2bl w:val="nil"/>
            </w:tcBorders>
            <w:vAlign w:val="center"/>
          </w:tcPr>
          <w:p>
            <w:pPr>
              <w:widowControl/>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3" w:type="dxa"/>
            <w:gridSpan w:val="8"/>
            <w:tcBorders>
              <w:tl2br w:val="nil"/>
              <w:tr2bl w:val="nil"/>
            </w:tcBorders>
            <w:vAlign w:val="center"/>
          </w:tcPr>
          <w:p>
            <w:pPr>
              <w:widowControl/>
              <w:jc w:val="left"/>
              <w:rPr>
                <w:rFonts w:ascii="宋体" w:hAnsi="宋体" w:eastAsia="宋体" w:cs="宋体"/>
                <w:sz w:val="18"/>
                <w:szCs w:val="18"/>
              </w:rPr>
            </w:pPr>
            <w:r>
              <w:rPr>
                <w:rFonts w:hint="eastAsia" w:ascii="宋体" w:hAnsi="宋体" w:eastAsia="宋体" w:cs="宋体"/>
                <w:sz w:val="18"/>
                <w:szCs w:val="18"/>
              </w:rPr>
              <w:t>总分</w:t>
            </w:r>
          </w:p>
        </w:tc>
        <w:tc>
          <w:tcPr>
            <w:tcW w:w="750"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100</w:t>
            </w:r>
          </w:p>
        </w:tc>
        <w:tc>
          <w:tcPr>
            <w:tcW w:w="523" w:type="dxa"/>
            <w:tcBorders>
              <w:tl2br w:val="nil"/>
              <w:tr2bl w:val="nil"/>
            </w:tcBorders>
            <w:vAlign w:val="center"/>
          </w:tcPr>
          <w:p>
            <w:pPr>
              <w:widowControl/>
              <w:jc w:val="center"/>
              <w:rPr>
                <w:rFonts w:ascii="宋体" w:hAnsi="宋体" w:eastAsia="宋体" w:cs="宋体"/>
                <w:sz w:val="18"/>
                <w:szCs w:val="18"/>
              </w:rPr>
            </w:pPr>
            <w:r>
              <w:rPr>
                <w:rFonts w:hint="eastAsia" w:ascii="宋体" w:hAnsi="宋体" w:eastAsia="宋体" w:cs="宋体"/>
                <w:sz w:val="18"/>
                <w:szCs w:val="18"/>
              </w:rPr>
              <w:t>99</w:t>
            </w:r>
          </w:p>
        </w:tc>
        <w:tc>
          <w:tcPr>
            <w:tcW w:w="1304" w:type="dxa"/>
            <w:gridSpan w:val="2"/>
            <w:tcBorders>
              <w:tl2br w:val="nil"/>
              <w:tr2bl w:val="nil"/>
            </w:tcBorders>
            <w:vAlign w:val="center"/>
          </w:tcPr>
          <w:p>
            <w:pPr>
              <w:widowControl/>
              <w:rPr>
                <w:rFonts w:ascii="宋体" w:hAnsi="宋体" w:eastAsia="宋体" w:cs="宋体"/>
                <w:sz w:val="18"/>
                <w:szCs w:val="18"/>
              </w:rPr>
            </w:pPr>
          </w:p>
        </w:tc>
      </w:tr>
    </w:tbl>
    <w:p>
      <w:pPr>
        <w:rPr>
          <w:rFonts w:ascii="宋体" w:hAnsi="宋体" w:eastAsia="宋体" w:cs="宋体"/>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23422"/>
    <w:rsid w:val="0026697B"/>
    <w:rsid w:val="008475D9"/>
    <w:rsid w:val="03F739C3"/>
    <w:rsid w:val="04CA56EA"/>
    <w:rsid w:val="06C466AD"/>
    <w:rsid w:val="07160DDD"/>
    <w:rsid w:val="08CE5D49"/>
    <w:rsid w:val="0F0D123E"/>
    <w:rsid w:val="0FB23422"/>
    <w:rsid w:val="11002283"/>
    <w:rsid w:val="13D124E5"/>
    <w:rsid w:val="162903FF"/>
    <w:rsid w:val="168808D5"/>
    <w:rsid w:val="221F2003"/>
    <w:rsid w:val="25B7601E"/>
    <w:rsid w:val="26A74B61"/>
    <w:rsid w:val="275E7581"/>
    <w:rsid w:val="28606416"/>
    <w:rsid w:val="28E84ED5"/>
    <w:rsid w:val="2A9F4BE0"/>
    <w:rsid w:val="30331B64"/>
    <w:rsid w:val="35B54BBF"/>
    <w:rsid w:val="36A57471"/>
    <w:rsid w:val="3BF92559"/>
    <w:rsid w:val="3E3547A3"/>
    <w:rsid w:val="43CC021D"/>
    <w:rsid w:val="4738009C"/>
    <w:rsid w:val="47E5654A"/>
    <w:rsid w:val="4A7258AC"/>
    <w:rsid w:val="4D837832"/>
    <w:rsid w:val="5012113E"/>
    <w:rsid w:val="5BA41A87"/>
    <w:rsid w:val="618E1DAE"/>
    <w:rsid w:val="68E775B6"/>
    <w:rsid w:val="72942907"/>
    <w:rsid w:val="745106DC"/>
    <w:rsid w:val="7479052D"/>
    <w:rsid w:val="7AE013A7"/>
    <w:rsid w:val="7D146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qFormat/>
    <w:uiPriority w:val="0"/>
    <w:rPr>
      <w:rFonts w:ascii="宋体" w:hAnsi="Courier New" w:eastAsia="宋体" w:cs="Courier New"/>
      <w:szCs w:val="21"/>
    </w:rPr>
  </w:style>
  <w:style w:type="character" w:customStyle="1" w:styleId="5">
    <w:name w:val="纯文本 Char"/>
    <w:basedOn w:val="4"/>
    <w:link w:val="2"/>
    <w:qFormat/>
    <w:uiPriority w:val="0"/>
    <w:rPr>
      <w:rFonts w:ascii="宋体" w:hAnsi="Courier New" w:eastAsia="宋体" w:cs="Courier New"/>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1876</Words>
  <Characters>1977</Characters>
  <Lines>16</Lines>
  <Paragraphs>4</Paragraphs>
  <TotalTime>4</TotalTime>
  <ScaleCrop>false</ScaleCrop>
  <LinksUpToDate>false</LinksUpToDate>
  <CharactersWithSpaces>1985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2025-03-17T09:19:00Z</dcterms:created>
  <dc:creator>嘟嘟</dc:creator>
  <cp:lastModifiedBy>嘟嘟</cp:lastModifiedBy>
  <dcterms:modified xsi:type="dcterms:W3CDTF">2025-08-25T06:46:44Z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