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8.2pt;margin-top:20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公益性就业岗位经费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设置公益性工作岗位，以解决4050等就业特困人员的再就业问题，同时为辖区提供各项服务，解决部分人口就业问题，缓解就业压力，促进社会稳定。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设置公益性工作岗位，以解决4050等就业特困人员的再就业问题，同时为辖区提供各项服务，解决部分人口就业问题，缓解就业压力，促进社会稳定。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公益性组织人员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60人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38人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人员增减变化的不确定性导致偏差，今后将提升人员预算的准确性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公益性组织人员工资发放及时率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达到100%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辖区就业困难人群就业率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达到80%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达到80%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公益性组织人员工资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每月发放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每月发放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150万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设置公益性工作岗位，解决就业特困人员的再就业问题，为辖区提供各项服务，解决部分人口就业问题，缓解就业压力，促进社会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平稳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建立长效机制，解决就业困难人群的就业问题，持续提高社区公共事物、城市管理、劳动保障、社区治安等服务，为维护社会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平稳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0"/>
                <w:szCs w:val="20"/>
              </w:rPr>
              <w:t>、确保城市管理工作高效运行提供良好的保障。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就业特困人员满意度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BD35C4"/>
    <w:rsid w:val="00DC5484"/>
    <w:rsid w:val="04CA56EA"/>
    <w:rsid w:val="08CE5D49"/>
    <w:rsid w:val="0FB23422"/>
    <w:rsid w:val="136D0431"/>
    <w:rsid w:val="25E93D68"/>
    <w:rsid w:val="28E84ED5"/>
    <w:rsid w:val="2E4B5DD1"/>
    <w:rsid w:val="35B54BBF"/>
    <w:rsid w:val="6ADC7501"/>
    <w:rsid w:val="749C7EC9"/>
    <w:rsid w:val="7B5D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853</Words>
  <Characters>926</Characters>
  <Lines>9</Lines>
  <Paragraphs>2</Paragraphs>
  <TotalTime>2</TotalTime>
  <ScaleCrop>false</ScaleCrop>
  <LinksUpToDate>false</LinksUpToDate>
  <CharactersWithSpaces>934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2025-08-25T08:32:02Z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