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outlineLvl w:val="0"/>
        <w:rPr>
          <w:rFonts w:hint="eastAsia" w:ascii="宋体" w:hAnsi="宋体"/>
          <w:b/>
          <w:bCs/>
          <w:sz w:val="44"/>
          <w:szCs w:val="44"/>
          <w:lang w:val="en-US" w:eastAsia="zh-CN"/>
        </w:rPr>
      </w:pPr>
      <w:bookmarkStart w:id="0" w:name="_Toc11038"/>
      <w:r>
        <w:rPr>
          <w:rFonts w:hint="eastAsia" w:ascii="宋体" w:hAnsi="宋体"/>
          <w:b/>
          <w:bCs/>
          <w:sz w:val="44"/>
          <w:szCs w:val="44"/>
        </w:rPr>
        <w:t>202</w:t>
      </w:r>
      <w:r>
        <w:rPr>
          <w:rFonts w:hint="eastAsia" w:ascii="宋体" w:hAnsi="宋体"/>
          <w:b/>
          <w:bCs/>
          <w:sz w:val="44"/>
          <w:szCs w:val="44"/>
          <w:lang w:val="en-US" w:eastAsia="zh-CN"/>
        </w:rPr>
        <w:t>4</w:t>
      </w:r>
      <w:r>
        <w:rPr>
          <w:rFonts w:hint="eastAsia" w:ascii="宋体" w:hAnsi="宋体"/>
          <w:b/>
          <w:bCs/>
          <w:sz w:val="44"/>
          <w:szCs w:val="44"/>
        </w:rPr>
        <w:t>年度部门</w:t>
      </w:r>
      <w:r>
        <w:rPr>
          <w:rFonts w:hint="eastAsia" w:ascii="宋体" w:hAnsi="宋体"/>
          <w:b/>
          <w:bCs/>
          <w:sz w:val="44"/>
          <w:szCs w:val="44"/>
          <w:lang w:val="en-US" w:eastAsia="zh-CN"/>
        </w:rPr>
        <w:t>整体</w:t>
      </w:r>
      <w:r>
        <w:rPr>
          <w:rFonts w:hint="eastAsia" w:ascii="宋体" w:hAnsi="宋体"/>
          <w:b/>
          <w:bCs/>
          <w:sz w:val="44"/>
          <w:szCs w:val="44"/>
        </w:rPr>
        <w:t>绩效评价</w:t>
      </w:r>
      <w:bookmarkEnd w:id="0"/>
      <w:r>
        <w:rPr>
          <w:rFonts w:hint="eastAsia" w:ascii="宋体" w:hAnsi="宋体"/>
          <w:b/>
          <w:bCs/>
          <w:sz w:val="44"/>
          <w:szCs w:val="44"/>
          <w:lang w:val="en-US" w:eastAsia="zh-CN"/>
        </w:rPr>
        <w:t>报告</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一</w:t>
      </w:r>
      <w:r>
        <w:rPr>
          <w:rFonts w:hint="eastAsia" w:ascii="仿宋_GB2312" w:eastAsia="仿宋_GB2312" w:cs="宋体"/>
          <w:bCs/>
          <w:kern w:val="0"/>
          <w:sz w:val="28"/>
          <w:szCs w:val="28"/>
          <w:lang w:val="en-US" w:eastAsia="zh-CN"/>
        </w:rPr>
        <w:t xml:space="preserve"> 、</w:t>
      </w:r>
      <w:r>
        <w:rPr>
          <w:rFonts w:hint="eastAsia" w:ascii="仿宋_GB2312" w:eastAsia="仿宋_GB2312" w:cs="宋体"/>
          <w:bCs/>
          <w:kern w:val="0"/>
          <w:sz w:val="28"/>
          <w:szCs w:val="28"/>
        </w:rPr>
        <w:t>部门概况</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lang w:eastAsia="zh-CN"/>
        </w:rPr>
        <w:t>（</w:t>
      </w:r>
      <w:r>
        <w:rPr>
          <w:rFonts w:hint="eastAsia" w:ascii="仿宋_GB2312" w:eastAsia="仿宋_GB2312" w:cs="宋体"/>
          <w:bCs/>
          <w:kern w:val="0"/>
          <w:sz w:val="28"/>
          <w:szCs w:val="28"/>
          <w:lang w:val="en-US" w:eastAsia="zh-CN"/>
        </w:rPr>
        <w:t>一）</w:t>
      </w:r>
      <w:r>
        <w:rPr>
          <w:rFonts w:hint="eastAsia" w:ascii="仿宋_GB2312" w:eastAsia="仿宋_GB2312" w:cs="宋体"/>
          <w:bCs/>
          <w:kern w:val="0"/>
          <w:sz w:val="28"/>
          <w:szCs w:val="28"/>
        </w:rPr>
        <w:t>机构设置及职责工作任务情况</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北京市西城区融媒体中心是区政府直属相当正处级公益一类财政补助事业单位。</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主要职责：</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1.围绕区委、区政府中心工作，坚持一体化发展，移动端优先，实现一次采集、多元生成、多渠道发布、多平台互动，做大做强正面宣传。</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2.负责与首都各大媒体联系沟通，负责区域内重点工作、重要活动和重大事件的新闻策划和报道。</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3.制作北京电视台播出的西城区新闻和有关专题类电视节目。</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4.负责区委、区政府重点工作和重要活动的新闻策划宣传;负责区政府中英文网站新闻栏目的更新和维护以及对外宣传交流平台内容的更新。</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5.负责全区重大活动、重要会议、主要领导活动的图片、视频资料的拍摄、存档、建目工作。</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6.负责编辑出版有关本区政治、经济、文化等的纸质及电子刊物。负责新媒体平台的建设及拓展。负责对接中央、市属新媒体，联系沟通并提供相应新媒体素材。</w:t>
      </w:r>
    </w:p>
    <w:p>
      <w:pPr>
        <w:pStyle w:val="3"/>
        <w:rPr>
          <w:rFonts w:hint="eastAsia" w:ascii="仿宋_GB2312" w:eastAsia="仿宋_GB2312"/>
          <w:color w:val="000000"/>
          <w:sz w:val="28"/>
          <w:szCs w:val="28"/>
        </w:rPr>
      </w:pPr>
      <w:r>
        <w:rPr>
          <w:rFonts w:hint="eastAsia" w:ascii="仿宋_GB2312" w:eastAsia="仿宋_GB2312"/>
          <w:color w:val="000000"/>
          <w:sz w:val="28"/>
          <w:szCs w:val="28"/>
        </w:rPr>
        <w:t>7.完成区委、区政府交办的其他任务。</w:t>
      </w:r>
    </w:p>
    <w:p>
      <w:pPr>
        <w:pStyle w:val="3"/>
        <w:ind w:firstLine="0" w:firstLineChars="0"/>
        <w:rPr>
          <w:rFonts w:hint="eastAsia" w:ascii="仿宋_GB2312" w:eastAsia="仿宋_GB2312" w:cs="宋体"/>
          <w:bCs/>
          <w:color w:val="000000"/>
          <w:kern w:val="0"/>
          <w:sz w:val="28"/>
          <w:szCs w:val="28"/>
        </w:rPr>
      </w:pPr>
      <w:r>
        <w:rPr>
          <w:rFonts w:hint="eastAsia" w:ascii="仿宋_GB2312" w:eastAsia="仿宋_GB2312"/>
          <w:color w:val="000000"/>
          <w:sz w:val="28"/>
          <w:szCs w:val="28"/>
          <w:lang w:val="en-US" w:eastAsia="zh-CN"/>
        </w:rPr>
        <w:t>（二）</w:t>
      </w:r>
      <w:r>
        <w:rPr>
          <w:rFonts w:hint="eastAsia" w:ascii="仿宋_GB2312" w:eastAsia="仿宋_GB2312" w:cs="宋体"/>
          <w:bCs/>
          <w:color w:val="000000"/>
          <w:kern w:val="0"/>
          <w:sz w:val="28"/>
          <w:szCs w:val="28"/>
        </w:rPr>
        <w:t>部门整体绩效目标设立情况</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2024年，在区委的坚强领导下，在区委宣传部的正确指导下，西城区融媒体中心要进一步以提高融媒的“传播力、引导力、影响力、公信力”为总目标，坚持以民为本，聚焦主责主业，以内容建设为根本，不断壮大基层主流舆论阵地。要积极做大做强正面宣传，加强舆论阵地建设，紧紧围绕中心、服务大局；要进一步提升网感，持续内容形式创新，推进媒体深度融合高质量发展，守正创新做好从“弱”到“强”的系统转变，打造独具西城特色的传播体系；要不断推出具有时代特征，体现西城水准的精品力作，为推动地区经济社会发展营造良好的舆论氛围。</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（二）当年预算执行情况</w:t>
      </w:r>
    </w:p>
    <w:p>
      <w:pPr>
        <w:pStyle w:val="3"/>
        <w:ind w:firstLine="560"/>
        <w:rPr>
          <w:rFonts w:hint="eastAsia" w:ascii="仿宋_GB2312" w:eastAsia="仿宋_GB2312" w:cs="宋体"/>
          <w:bCs/>
          <w:kern w:val="0"/>
          <w:sz w:val="28"/>
          <w:szCs w:val="28"/>
        </w:rPr>
      </w:pPr>
      <w:r>
        <w:rPr>
          <w:rFonts w:hint="eastAsia" w:ascii="仿宋_GB2312" w:eastAsia="仿宋_GB2312" w:cs="宋体"/>
          <w:bCs/>
          <w:kern w:val="0"/>
          <w:sz w:val="28"/>
          <w:szCs w:val="28"/>
        </w:rPr>
        <w:t>202</w:t>
      </w:r>
      <w:r>
        <w:rPr>
          <w:rFonts w:hint="eastAsia" w:ascii="仿宋_GB2312" w:eastAsia="仿宋_GB2312" w:cs="宋体"/>
          <w:bCs/>
          <w:kern w:val="0"/>
          <w:sz w:val="28"/>
          <w:szCs w:val="28"/>
          <w:lang w:val="en-US" w:eastAsia="zh-CN"/>
        </w:rPr>
        <w:t>4</w:t>
      </w:r>
      <w:r>
        <w:rPr>
          <w:rFonts w:hint="eastAsia" w:ascii="仿宋_GB2312" w:eastAsia="仿宋_GB2312" w:cs="宋体"/>
          <w:bCs/>
          <w:kern w:val="0"/>
          <w:sz w:val="28"/>
          <w:szCs w:val="28"/>
        </w:rPr>
        <w:t>年全年预算数</w:t>
      </w:r>
      <w:r>
        <w:rPr>
          <w:rFonts w:hint="eastAsia" w:ascii="仿宋_GB2312" w:eastAsia="仿宋_GB2312" w:cs="宋体"/>
          <w:bCs/>
          <w:kern w:val="0"/>
          <w:sz w:val="28"/>
          <w:szCs w:val="28"/>
          <w:lang w:val="en-US" w:eastAsia="zh-CN"/>
        </w:rPr>
        <w:t>3709.81</w:t>
      </w:r>
      <w:r>
        <w:rPr>
          <w:rFonts w:hint="eastAsia" w:ascii="仿宋_GB2312" w:eastAsia="仿宋_GB2312" w:cs="宋体"/>
          <w:bCs/>
          <w:kern w:val="0"/>
          <w:sz w:val="28"/>
          <w:szCs w:val="28"/>
        </w:rPr>
        <w:t>万元，其中，基本支出预算数</w:t>
      </w:r>
      <w:r>
        <w:rPr>
          <w:rFonts w:hint="eastAsia" w:ascii="仿宋_GB2312" w:eastAsia="仿宋_GB2312" w:cs="宋体"/>
          <w:bCs/>
          <w:kern w:val="0"/>
          <w:sz w:val="28"/>
          <w:szCs w:val="28"/>
          <w:lang w:val="en-US" w:eastAsia="zh-CN"/>
        </w:rPr>
        <w:t>1996.23</w:t>
      </w:r>
      <w:r>
        <w:rPr>
          <w:rFonts w:hint="eastAsia" w:ascii="仿宋_GB2312" w:eastAsia="仿宋_GB2312" w:cs="宋体"/>
          <w:bCs/>
          <w:kern w:val="0"/>
          <w:sz w:val="28"/>
          <w:szCs w:val="28"/>
        </w:rPr>
        <w:t>万元，项目支出预算数</w:t>
      </w:r>
      <w:r>
        <w:rPr>
          <w:rFonts w:hint="eastAsia" w:ascii="仿宋_GB2312" w:eastAsia="仿宋_GB2312" w:cs="宋体"/>
          <w:bCs/>
          <w:kern w:val="0"/>
          <w:sz w:val="28"/>
          <w:szCs w:val="28"/>
          <w:lang w:val="en-US" w:eastAsia="zh-CN"/>
        </w:rPr>
        <w:t>1713.58</w:t>
      </w:r>
      <w:r>
        <w:rPr>
          <w:rFonts w:hint="eastAsia" w:ascii="仿宋_GB2312" w:eastAsia="仿宋_GB2312" w:cs="宋体"/>
          <w:bCs/>
          <w:kern w:val="0"/>
          <w:sz w:val="28"/>
          <w:szCs w:val="28"/>
        </w:rPr>
        <w:t>万元。资金总体支出</w:t>
      </w:r>
      <w:r>
        <w:rPr>
          <w:rFonts w:hint="eastAsia" w:ascii="仿宋_GB2312" w:eastAsia="仿宋_GB2312" w:cs="宋体"/>
          <w:bCs/>
          <w:kern w:val="0"/>
          <w:sz w:val="28"/>
          <w:szCs w:val="28"/>
          <w:lang w:val="en-US" w:eastAsia="zh-CN"/>
        </w:rPr>
        <w:t>3709.81</w:t>
      </w:r>
      <w:r>
        <w:rPr>
          <w:rFonts w:hint="eastAsia" w:ascii="仿宋_GB2312" w:eastAsia="仿宋_GB2312" w:cs="宋体"/>
          <w:bCs/>
          <w:kern w:val="0"/>
          <w:sz w:val="28"/>
          <w:szCs w:val="28"/>
        </w:rPr>
        <w:t>万元，其中，基本支出</w:t>
      </w:r>
      <w:r>
        <w:rPr>
          <w:rFonts w:hint="eastAsia" w:ascii="仿宋_GB2312" w:eastAsia="仿宋_GB2312" w:cs="宋体"/>
          <w:bCs/>
          <w:kern w:val="0"/>
          <w:sz w:val="28"/>
          <w:szCs w:val="28"/>
          <w:lang w:val="en-US" w:eastAsia="zh-CN"/>
        </w:rPr>
        <w:t>1996.23</w:t>
      </w:r>
      <w:r>
        <w:rPr>
          <w:rFonts w:hint="eastAsia" w:ascii="仿宋_GB2312" w:eastAsia="仿宋_GB2312" w:cs="宋体"/>
          <w:bCs/>
          <w:kern w:val="0"/>
          <w:sz w:val="28"/>
          <w:szCs w:val="28"/>
        </w:rPr>
        <w:t>万元，项目支出</w:t>
      </w:r>
      <w:r>
        <w:rPr>
          <w:rFonts w:hint="eastAsia" w:ascii="仿宋_GB2312" w:eastAsia="仿宋_GB2312" w:cs="宋体"/>
          <w:bCs/>
          <w:kern w:val="0"/>
          <w:sz w:val="28"/>
          <w:szCs w:val="28"/>
          <w:lang w:val="en-US" w:eastAsia="zh-CN"/>
        </w:rPr>
        <w:t>1713.58</w:t>
      </w:r>
      <w:r>
        <w:rPr>
          <w:rFonts w:hint="eastAsia" w:ascii="仿宋_GB2312" w:eastAsia="仿宋_GB2312" w:cs="宋体"/>
          <w:bCs/>
          <w:kern w:val="0"/>
          <w:sz w:val="28"/>
          <w:szCs w:val="28"/>
        </w:rPr>
        <w:t>万元。预算执行率为100%。</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（三）整体绩效目标实现情况</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1.产出完成情况分析</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(1)产出数量</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各项工作任务均以完成.产出数量符合整体绩效目标要求。</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（2）产出质量</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rPr>
        <w:t>全年西城区融媒体中心</w:t>
      </w:r>
      <w:r>
        <w:rPr>
          <w:rFonts w:hint="eastAsia" w:ascii="仿宋_GB2312" w:hAnsi="仿宋_GB2312" w:eastAsia="仿宋_GB2312" w:cs="仿宋_GB2312"/>
          <w:sz w:val="28"/>
          <w:szCs w:val="28"/>
          <w:highlight w:val="none"/>
          <w:lang w:val="en-US" w:eastAsia="zh-CN"/>
        </w:rPr>
        <w:t>在中央、市属及网络媒体累计刊播5000余篇/条,全年全区重点活动8次登上央视《新闻联播》，登上北京卫视《北京新闻》近20次；“北京西城”微信公众号共推送发布图文消息1955篇，总阅读量479.4万次，较去年增加171.8万。平台用户关注总量达 42.6万，较去年增加2.52万；“北京西城”微博从6月1日运营，共计新增有效用户粉丝2000余个，微博现有粉丝总数达104.6万，共计发布微博条数1012条，总阅读量284万次；2024年“北京西城“抖音、快手、视频号、央视频共发布2100篇，总观看量5218万。“北京西城”抖音、快手、视频号共开展直播204场，总观看量300万次；《北京西城报》正刊出版81期，560个版面；《西城文苑》发行4期，刊发121篇文章，300余张图片；《都市阳光》日播电视节目播出304期；北京西城政府网站共发布1595篇，英文网站更新内容400余条，访问量达到416万。中心多个作品在北京新闻奖、北京市专业报刊好新闻奖、2023年度优秀广播电视节目、“学习强国”优秀作品等评选中获奖近20个。</w:t>
      </w:r>
    </w:p>
    <w:p>
      <w:pPr>
        <w:pStyle w:val="3"/>
        <w:ind w:left="0" w:leftChars="0" w:firstLine="560" w:firstLineChars="200"/>
        <w:rPr>
          <w:rFonts w:ascii="仿宋_GB2312" w:eastAsia="仿宋_GB2312" w:cs="宋体"/>
          <w:bCs/>
          <w:kern w:val="0"/>
          <w:sz w:val="28"/>
          <w:szCs w:val="28"/>
        </w:rPr>
      </w:pPr>
      <w:r>
        <w:rPr>
          <w:rFonts w:hint="eastAsia" w:ascii="仿宋_GB2312" w:eastAsia="仿宋_GB2312" w:cs="宋体"/>
          <w:bCs/>
          <w:kern w:val="0"/>
          <w:sz w:val="28"/>
          <w:szCs w:val="28"/>
        </w:rPr>
        <w:t>（3）产出进度</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各项工作任务按照进度计划开展，支出进度与工作进度相匹配。产出进度符合整体绩效目标要求。</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（4）产出成本</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 xml:space="preserve">认真贯彻落实过“紧日子”要求，加强预算执行管理，厉行勤俭约，压缩一般性开支，严格预算约束，注重成本效益提升，明确各类支出标准，加强预算审核，有效降低产出成本。产出成本符合整体绩效目标要求。                                     </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2.效果实现情况分析</w:t>
      </w:r>
    </w:p>
    <w:p>
      <w:pPr>
        <w:spacing w:line="560" w:lineRule="exact"/>
        <w:ind w:firstLine="560" w:firstLineChars="200"/>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（1）社会效益</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区融媒体中心牢牢把握正确舆论导向，紧紧围绕党和国家的重大决策部署，提高站位主动策划，充分利用报纸、新媒体、电视等各类平台，多种形式创新，形成立体化、全方位、多角度的宣传报道。充分展现西城区全力营造全区上下共谋发展、深入实践的良好氛围，展现以改革开放推进中国式现代化西城实践行稳致远的新作为、新气象。与北京广播电视台深度合作，策划国庆75周年大直播西城板块及大型融媒广播剧《北京故事》，节目在10月1日当天播出，并取得了良好的成果。</w:t>
      </w:r>
    </w:p>
    <w:p>
      <w:pPr>
        <w:ind w:firstLine="560" w:firstLineChars="200"/>
        <w:rPr>
          <w:rFonts w:hint="eastAsia" w:ascii="仿宋_GB2312" w:eastAsia="仿宋_GB2312" w:cs="Times New Roman"/>
          <w:sz w:val="28"/>
          <w:szCs w:val="28"/>
          <w:lang w:val="en-US" w:eastAsia="zh-CN"/>
        </w:rPr>
      </w:pPr>
      <w:r>
        <w:rPr>
          <w:rFonts w:hint="eastAsia" w:ascii="仿宋_GB2312" w:hAnsi="仿宋_GB2312" w:eastAsia="仿宋_GB2312" w:cs="仿宋_GB2312"/>
          <w:sz w:val="28"/>
          <w:szCs w:val="28"/>
          <w:highlight w:val="none"/>
          <w:lang w:eastAsia="zh-CN"/>
        </w:rPr>
        <w:t>民有所呼，我有所应。</w:t>
      </w:r>
      <w:r>
        <w:rPr>
          <w:rFonts w:hint="eastAsia" w:ascii="仿宋_GB2312" w:hAnsi="仿宋_GB2312" w:eastAsia="仿宋_GB2312" w:cs="仿宋_GB2312"/>
          <w:sz w:val="28"/>
          <w:szCs w:val="28"/>
          <w:highlight w:val="none"/>
          <w:lang w:val="en-US" w:eastAsia="zh-CN"/>
        </w:rPr>
        <w:t>中心</w:t>
      </w:r>
      <w:r>
        <w:rPr>
          <w:rFonts w:hint="eastAsia" w:ascii="仿宋_GB2312" w:hAnsi="仿宋_GB2312" w:eastAsia="仿宋_GB2312" w:cs="仿宋_GB2312"/>
          <w:sz w:val="28"/>
          <w:szCs w:val="28"/>
          <w:highlight w:val="none"/>
          <w:lang w:eastAsia="zh-CN"/>
        </w:rPr>
        <w:t>始终把解决民生问题摆在重要位置，</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sz w:val="28"/>
          <w:szCs w:val="28"/>
          <w:highlight w:val="none"/>
          <w:lang w:eastAsia="zh-CN"/>
        </w:rPr>
        <w:t>养老、教育、医疗、生活便利性、友好型城区建设</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lang w:eastAsia="zh-CN"/>
        </w:rPr>
        <w:t>民生领域的新举措和新成效进行及时的深入报道，回应群众关切，增强人民群众的获得感和幸福感。元旦当天《西城报》推出《一切向幸福奋进》时评稿件，广受好评。电视栏目制作了《</w:t>
      </w:r>
      <w:r>
        <w:rPr>
          <w:rFonts w:hint="eastAsia" w:ascii="仿宋_GB2312" w:hAnsi="仿宋_GB2312" w:eastAsia="仿宋_GB2312" w:cs="仿宋_GB2312"/>
          <w:sz w:val="28"/>
          <w:szCs w:val="28"/>
          <w:highlight w:val="none"/>
          <w:lang w:val="en-US" w:eastAsia="zh-CN"/>
        </w:rPr>
        <w:t>京津冀异地康养打开养老新格局 京城有了养老“后花园”</w:t>
      </w:r>
      <w:r>
        <w:rPr>
          <w:rFonts w:hint="eastAsia" w:ascii="仿宋_GB2312" w:hAnsi="仿宋_GB2312" w:eastAsia="仿宋_GB2312" w:cs="仿宋_GB2312"/>
          <w:sz w:val="28"/>
          <w:szCs w:val="28"/>
          <w:highlight w:val="none"/>
          <w:lang w:eastAsia="zh-CN"/>
        </w:rPr>
        <w:t>》，围绕习近平总书记亲自谋划部署的京津冀协同发展这项重大国家战略，记者利用镜头深入一线，用心用情打磨作品，获</w:t>
      </w:r>
      <w:r>
        <w:rPr>
          <w:rFonts w:hint="eastAsia" w:ascii="仿宋_GB2312" w:hAnsi="仿宋_GB2312" w:eastAsia="仿宋_GB2312" w:cs="仿宋_GB2312"/>
          <w:sz w:val="28"/>
          <w:szCs w:val="28"/>
          <w:highlight w:val="none"/>
          <w:lang w:val="en-US" w:eastAsia="zh-CN"/>
        </w:rPr>
        <w:t>北京新闻奖典型报道类二</w:t>
      </w:r>
      <w:r>
        <w:rPr>
          <w:rFonts w:hint="eastAsia" w:ascii="仿宋_GB2312" w:hAnsi="仿宋_GB2312" w:eastAsia="仿宋_GB2312" w:cs="仿宋_GB2312"/>
          <w:sz w:val="28"/>
          <w:szCs w:val="28"/>
          <w:highlight w:val="none"/>
          <w:lang w:eastAsia="zh-CN"/>
        </w:rPr>
        <w:t>等奖</w:t>
      </w:r>
      <w:r>
        <w:rPr>
          <w:rFonts w:hint="eastAsia" w:ascii="仿宋_GB2312" w:hAnsi="仿宋_GB2312" w:eastAsia="仿宋_GB2312" w:cs="仿宋_GB2312"/>
          <w:sz w:val="28"/>
          <w:szCs w:val="28"/>
          <w:highlight w:val="none"/>
          <w:lang w:val="en-US" w:eastAsia="zh-CN"/>
        </w:rPr>
        <w:t>。</w:t>
      </w:r>
    </w:p>
    <w:p>
      <w:pPr>
        <w:pStyle w:val="3"/>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（2）可持续性影响</w:t>
      </w:r>
    </w:p>
    <w:p>
      <w:pPr>
        <w:ind w:firstLine="560" w:firstLineChars="200"/>
        <w:rPr>
          <w:rFonts w:hint="eastAsia"/>
          <w:sz w:val="28"/>
          <w:szCs w:val="28"/>
          <w:lang w:val="en-US" w:eastAsia="zh-CN"/>
        </w:rPr>
      </w:pPr>
      <w:r>
        <w:rPr>
          <w:rFonts w:hint="eastAsia" w:ascii="仿宋_GB2312" w:eastAsia="仿宋_GB2312" w:cs="宋体"/>
          <w:bCs/>
          <w:color w:val="000000"/>
          <w:kern w:val="0"/>
          <w:sz w:val="28"/>
          <w:szCs w:val="28"/>
        </w:rPr>
        <w:t xml:space="preserve"> </w:t>
      </w:r>
      <w:r>
        <w:rPr>
          <w:rFonts w:hint="eastAsia" w:ascii="仿宋_GB2312" w:hAnsi="仿宋_GB2312" w:eastAsia="仿宋_GB2312" w:cs="仿宋_GB2312"/>
          <w:sz w:val="28"/>
          <w:szCs w:val="28"/>
          <w:highlight w:val="none"/>
          <w:lang w:val="en-US" w:eastAsia="zh-CN"/>
        </w:rPr>
        <w:t>在融媒体服务构架的搭建上，西城区融媒体中心积极探索通过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政务媒体+中央（市属）媒体</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等形式，推动实现与中央市属媒体之间的直播、访谈等联动，探索搭建专业化合作平台及实践基地，持续推动传媒生态新应用场景的落地。扩展与</w:t>
      </w:r>
      <w:r>
        <w:rPr>
          <w:rFonts w:hint="eastAsia" w:ascii="仿宋_GB2312" w:hAnsi="仿宋_GB2312" w:eastAsia="仿宋_GB2312" w:cs="仿宋_GB2312"/>
          <w:sz w:val="28"/>
          <w:szCs w:val="28"/>
          <w:highlight w:val="none"/>
          <w:lang w:eastAsia="zh-CN"/>
        </w:rPr>
        <w:t>中央市属媒体、港澳媒体、头部网络平台、常驻京外媒记者的沟通对接，加强媒体选题稿库建设，特别是形成了重要时间节点的重大选题联合策划工作模式，加强媒体服务功能，配合区委宣传部加强与</w:t>
      </w:r>
      <w:r>
        <w:rPr>
          <w:rFonts w:hint="eastAsia" w:ascii="仿宋_GB2312" w:hAnsi="仿宋_GB2312" w:eastAsia="仿宋_GB2312" w:cs="仿宋_GB2312"/>
          <w:sz w:val="28"/>
          <w:szCs w:val="28"/>
          <w:highlight w:val="none"/>
          <w:lang w:val="en-US" w:eastAsia="zh-CN"/>
        </w:rPr>
        <w:t>市级部门</w:t>
      </w:r>
      <w:r>
        <w:rPr>
          <w:rFonts w:hint="eastAsia" w:ascii="仿宋_GB2312" w:hAnsi="仿宋_GB2312" w:eastAsia="仿宋_GB2312" w:cs="仿宋_GB2312"/>
          <w:sz w:val="28"/>
          <w:szCs w:val="28"/>
          <w:highlight w:val="none"/>
          <w:lang w:eastAsia="zh-CN"/>
        </w:rPr>
        <w:t>对接交流，为大型集体采访提供多元化的媒体服务。</w:t>
      </w:r>
      <w:r>
        <w:rPr>
          <w:rFonts w:hint="eastAsia" w:ascii="仿宋_GB2312" w:hAnsi="仿宋_GB2312" w:eastAsia="仿宋_GB2312" w:cs="仿宋_GB2312"/>
          <w:sz w:val="28"/>
          <w:szCs w:val="28"/>
          <w:highlight w:val="none"/>
          <w:lang w:val="en-US" w:eastAsia="zh-CN"/>
        </w:rPr>
        <w:t>持续拓展新媒体发布平台，逐渐形成了从“融媒矩阵”到“融媒强阵”、从“爆款产品”到“精品品牌”、从“单一作战”到“多线并进”，从“简单功能”到“多元服务”的集约高效的内容生产体系和全媒体传播链条。</w:t>
      </w:r>
    </w:p>
    <w:p>
      <w:pPr>
        <w:pStyle w:val="3"/>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（3）服务对象满意度</w:t>
      </w:r>
    </w:p>
    <w:p>
      <w:pPr>
        <w:spacing w:line="560" w:lineRule="exact"/>
        <w:ind w:firstLine="560" w:firstLineChars="200"/>
        <w:rPr>
          <w:sz w:val="28"/>
          <w:szCs w:val="28"/>
        </w:rPr>
      </w:pPr>
      <w:r>
        <w:rPr>
          <w:rFonts w:hint="eastAsia" w:ascii="仿宋_GB2312" w:eastAsia="仿宋_GB2312"/>
          <w:color w:val="000000"/>
          <w:sz w:val="28"/>
          <w:szCs w:val="28"/>
        </w:rPr>
        <w:t>西城区融媒体中心进一步拓宽和畅通政民沟通渠道。更好地倾听群众呼声。对涉及</w:t>
      </w:r>
      <w:r>
        <w:rPr>
          <w:rFonts w:hint="eastAsia" w:ascii="仿宋_GB2312" w:eastAsia="仿宋_GB2312"/>
          <w:sz w:val="28"/>
          <w:szCs w:val="28"/>
        </w:rPr>
        <w:t>社会公共利益的重大决策部署、重大改革措施，有序开展舆论预热，加强信息发布和政策解读，合理引导社会预期。加强日常信息发布，分类分级分层做好引导回应，及时回应百姓关切。</w:t>
      </w:r>
    </w:p>
    <w:p>
      <w:pPr>
        <w:pStyle w:val="3"/>
        <w:ind w:firstLine="0" w:firstLineChars="0"/>
        <w:rPr>
          <w:rFonts w:ascii="仿宋_GB2312" w:eastAsia="仿宋_GB2312" w:cs="宋体"/>
          <w:bCs/>
          <w:kern w:val="0"/>
          <w:sz w:val="28"/>
          <w:szCs w:val="28"/>
        </w:rPr>
      </w:pPr>
      <w:r>
        <w:rPr>
          <w:rFonts w:hint="eastAsia" w:ascii="仿宋_GB2312" w:eastAsia="仿宋_GB2312" w:cs="宋体"/>
          <w:bCs/>
          <w:kern w:val="0"/>
          <w:sz w:val="28"/>
          <w:szCs w:val="28"/>
        </w:rPr>
        <w:t>（四）预算管理情况分析</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1.财务管理</w:t>
      </w:r>
    </w:p>
    <w:p>
      <w:pPr>
        <w:pStyle w:val="3"/>
        <w:rPr>
          <w:rFonts w:ascii="仿宋_GB2312" w:eastAsia="仿宋_GB2312" w:cs="宋体"/>
          <w:bCs/>
          <w:kern w:val="0"/>
          <w:sz w:val="28"/>
          <w:szCs w:val="28"/>
        </w:rPr>
      </w:pPr>
      <w:r>
        <w:rPr>
          <w:rFonts w:hint="eastAsia" w:ascii="仿宋_GB2312" w:eastAsia="仿宋_GB2312" w:cs="宋体"/>
          <w:bCs/>
          <w:kern w:val="0"/>
          <w:sz w:val="28"/>
          <w:szCs w:val="28"/>
        </w:rPr>
        <w:t>(1)财务管理制度健全性</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为加强区融媒体中心财务管理，进一步防范内控风险，在区财政局和区机关事务服务中心的业务指导下，结合本单位实际，制定了规范的财务管理制度，并有效实施，对本单位的经济业务活动起到了指导、规范、控制和监督作用。财务管理制度合法、合规、完整。</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（2）资金使用合规性和安全性</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资金使用符合国家资金管理办法和财务管理制度的有关规定，资金的拨付有完整的审批程序和手续，资金使用符合项目合同规定的用途，不存在截留、挤占、挪用、虚列支出等情况。</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（3）会计基础信息完善性</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区融媒体中心财务工作由区机关事务服务中心代管。按照区财政局和区机关事务服务中心的相关要求开展各项财务工作，严格管理，加强配合，努力保证会计基础信息的完善性。</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2.资产管理</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截至202</w:t>
      </w:r>
      <w:r>
        <w:rPr>
          <w:rFonts w:hint="eastAsia" w:ascii="仿宋_GB2312" w:eastAsia="仿宋_GB2312" w:cs="宋体"/>
          <w:bCs/>
          <w:kern w:val="0"/>
          <w:sz w:val="28"/>
          <w:szCs w:val="28"/>
          <w:lang w:val="en-US" w:eastAsia="zh-CN"/>
        </w:rPr>
        <w:t>4</w:t>
      </w:r>
      <w:r>
        <w:rPr>
          <w:rFonts w:hint="eastAsia" w:ascii="仿宋_GB2312" w:eastAsia="仿宋_GB2312" w:cs="宋体"/>
          <w:bCs/>
          <w:kern w:val="0"/>
          <w:sz w:val="28"/>
          <w:szCs w:val="28"/>
        </w:rPr>
        <w:t>年底，区融媒体中心固定资产总额 1221.72万元         万元。严格按照《固定资产管理办法》定期进行资产盘点，确保账实相符。</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3.绩效管理</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区融媒体中心持续全绩效管理机制，牢牢把握绩效目标管理，绩效隐形监控，绩效评价管理、评价结果应用等个环节，保障绩效管理工作质量，实现管理效益目标。根据项目的绩效目标和绩效指标等标准对项目的效益性、经济性、效率性开展自我评价。</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4.结转结余率</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202</w:t>
      </w:r>
      <w:r>
        <w:rPr>
          <w:rFonts w:hint="eastAsia" w:ascii="仿宋_GB2312" w:eastAsia="仿宋_GB2312" w:cs="宋体"/>
          <w:bCs/>
          <w:kern w:val="0"/>
          <w:sz w:val="28"/>
          <w:szCs w:val="28"/>
          <w:lang w:val="en-US" w:eastAsia="zh-CN"/>
        </w:rPr>
        <w:t>4</w:t>
      </w:r>
      <w:r>
        <w:rPr>
          <w:rFonts w:hint="eastAsia" w:ascii="仿宋_GB2312" w:eastAsia="仿宋_GB2312" w:cs="宋体"/>
          <w:bCs/>
          <w:kern w:val="0"/>
          <w:sz w:val="28"/>
          <w:szCs w:val="28"/>
        </w:rPr>
        <w:t>年结转结余率为0</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5.部门预决算差异率</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202</w:t>
      </w:r>
      <w:r>
        <w:rPr>
          <w:rFonts w:hint="eastAsia" w:ascii="仿宋_GB2312" w:eastAsia="仿宋_GB2312" w:cs="宋体"/>
          <w:bCs/>
          <w:kern w:val="0"/>
          <w:sz w:val="28"/>
          <w:szCs w:val="28"/>
          <w:lang w:val="en-US" w:eastAsia="zh-CN"/>
        </w:rPr>
        <w:t>4</w:t>
      </w:r>
      <w:r>
        <w:rPr>
          <w:rFonts w:hint="eastAsia" w:ascii="仿宋_GB2312" w:eastAsia="仿宋_GB2312" w:cs="宋体"/>
          <w:bCs/>
          <w:kern w:val="0"/>
          <w:sz w:val="28"/>
          <w:szCs w:val="28"/>
        </w:rPr>
        <w:t>年部门预决算差异率为0</w:t>
      </w:r>
    </w:p>
    <w:p>
      <w:pPr>
        <w:pStyle w:val="3"/>
        <w:ind w:firstLine="280" w:firstLineChars="100"/>
        <w:rPr>
          <w:rFonts w:ascii="仿宋_GB2312" w:eastAsia="仿宋_GB2312" w:cs="宋体"/>
          <w:bCs/>
          <w:kern w:val="0"/>
          <w:sz w:val="28"/>
          <w:szCs w:val="28"/>
        </w:rPr>
      </w:pPr>
      <w:r>
        <w:rPr>
          <w:rFonts w:hint="eastAsia" w:ascii="仿宋_GB2312" w:eastAsia="仿宋_GB2312" w:cs="宋体"/>
          <w:bCs/>
          <w:kern w:val="0"/>
          <w:sz w:val="28"/>
          <w:szCs w:val="28"/>
        </w:rPr>
        <w:t>（五）总体评价结论</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1.评价得分情况</w:t>
      </w:r>
    </w:p>
    <w:p>
      <w:pPr>
        <w:ind w:firstLine="560" w:firstLineChars="200"/>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年,通过各项项目的实施,完成了全年重点工作任务,实现了年度预期效果,自评得分为100分.</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2.存在的问题及原因分析</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需进一步加强预算管理工作，不断提升部门预算编制的前瞻性、科学性和准确性。</w:t>
      </w:r>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（六）措施建议</w:t>
      </w:r>
      <w:bookmarkStart w:id="1" w:name="_Toc2965"/>
      <w:bookmarkEnd w:id="1"/>
    </w:p>
    <w:p>
      <w:pPr>
        <w:pStyle w:val="3"/>
        <w:ind w:firstLine="560"/>
        <w:rPr>
          <w:rFonts w:ascii="仿宋_GB2312" w:eastAsia="仿宋_GB2312" w:cs="宋体"/>
          <w:bCs/>
          <w:kern w:val="0"/>
          <w:sz w:val="28"/>
          <w:szCs w:val="28"/>
        </w:rPr>
      </w:pPr>
      <w:r>
        <w:rPr>
          <w:rFonts w:hint="eastAsia" w:ascii="仿宋_GB2312" w:eastAsia="仿宋_GB2312" w:cs="宋体"/>
          <w:bCs/>
          <w:kern w:val="0"/>
          <w:sz w:val="28"/>
          <w:szCs w:val="28"/>
        </w:rPr>
        <w:t>1</w:t>
      </w:r>
      <w:r>
        <w:rPr>
          <w:rFonts w:hint="eastAsia" w:ascii="仿宋_GB2312" w:eastAsia="仿宋_GB2312" w:cs="宋体"/>
          <w:bCs/>
          <w:kern w:val="0"/>
          <w:sz w:val="28"/>
          <w:szCs w:val="28"/>
          <w:lang w:val="en-US" w:eastAsia="zh-CN"/>
        </w:rPr>
        <w:t>进一步优化绩效目标设定，科学评价项目成效。进一步结合项目实际执行，评估当前绩效目标设定的合理性，深挖项目效能，建立健全行之有效的绩效评价指标体系，科学评价预算项目的价值作用。</w:t>
      </w:r>
    </w:p>
    <w:p>
      <w:pPr>
        <w:pStyle w:val="3"/>
        <w:ind w:firstLine="560"/>
        <w:rPr>
          <w:rFonts w:hint="eastAsia" w:ascii="仿宋_GB2312" w:eastAsia="仿宋_GB2312" w:cs="宋体"/>
          <w:bCs/>
          <w:kern w:val="0"/>
          <w:sz w:val="28"/>
          <w:szCs w:val="28"/>
          <w:lang w:val="en-US" w:eastAsia="zh-CN"/>
        </w:rPr>
      </w:pPr>
      <w:r>
        <w:rPr>
          <w:rFonts w:hint="eastAsia" w:ascii="仿宋_GB2312" w:eastAsia="仿宋_GB2312" w:cs="宋体"/>
          <w:bCs/>
          <w:kern w:val="0"/>
          <w:sz w:val="28"/>
          <w:szCs w:val="28"/>
        </w:rPr>
        <w:t>2</w:t>
      </w:r>
      <w:r>
        <w:rPr>
          <w:rFonts w:hint="eastAsia" w:ascii="仿宋_GB2312" w:eastAsia="仿宋_GB2312" w:cs="宋体"/>
          <w:bCs/>
          <w:kern w:val="0"/>
          <w:sz w:val="28"/>
          <w:szCs w:val="28"/>
          <w:lang w:val="en-US" w:eastAsia="zh-CN"/>
        </w:rPr>
        <w:t>不断强化执行进度管理，提升资金使用效益。科学稳妥推进各项目，加快执行进度，做好业财融合，加强项目执行分析研判，提升资金统筹管理水平，同时坚持厉行节约，勤俭办事，促进项目高质量发展。</w:t>
      </w:r>
    </w:p>
    <w:p>
      <w:pPr>
        <w:pStyle w:val="3"/>
        <w:ind w:firstLine="560"/>
        <w:rPr>
          <w:rFonts w:hint="default" w:ascii="仿宋_GB2312" w:eastAsia="仿宋_GB2312" w:cs="宋体"/>
          <w:bCs/>
          <w:kern w:val="0"/>
          <w:sz w:val="28"/>
          <w:szCs w:val="28"/>
          <w:lang w:val="en-US" w:eastAsia="zh-CN"/>
        </w:rPr>
      </w:pPr>
      <w:r>
        <w:rPr>
          <w:rFonts w:hint="eastAsia" w:ascii="仿宋_GB2312" w:eastAsia="仿宋_GB2312" w:cs="宋体"/>
          <w:bCs/>
          <w:kern w:val="0"/>
          <w:sz w:val="28"/>
          <w:szCs w:val="28"/>
          <w:lang w:val="en-US" w:eastAsia="zh-CN"/>
        </w:rPr>
        <w:t>3加强复盘，积极召开绩效复盘会，总结成绩</w:t>
      </w:r>
      <w:bookmarkStart w:id="2" w:name="_GoBack"/>
      <w:bookmarkEnd w:id="2"/>
      <w:r>
        <w:rPr>
          <w:rFonts w:hint="eastAsia" w:ascii="仿宋_GB2312" w:eastAsia="仿宋_GB2312" w:cs="宋体"/>
          <w:bCs/>
          <w:kern w:val="0"/>
          <w:sz w:val="28"/>
          <w:szCs w:val="28"/>
          <w:lang w:val="en-US" w:eastAsia="zh-CN"/>
        </w:rPr>
        <w:t>问题，深挖原因，形成“问题—措施——验证——优化”的闭环，将有效经验固化为部门制度，持续提升绩效水平。</w:t>
      </w:r>
    </w:p>
    <w:p/>
    <w:p>
      <w:pPr>
        <w:pStyle w:val="3"/>
        <w:ind w:firstLine="560"/>
        <w:rPr>
          <w:rFonts w:hint="eastAsia" w:ascii="仿宋_GB2312" w:eastAsia="仿宋_GB2312" w:cs="宋体"/>
          <w:bCs/>
          <w:kern w:val="0"/>
          <w:sz w:val="28"/>
          <w:szCs w:val="28"/>
        </w:rPr>
      </w:pPr>
    </w:p>
    <w:p>
      <w:pPr>
        <w:pStyle w:val="2"/>
        <w:rPr>
          <w:rFonts w:hint="eastAsia"/>
          <w:lang w:val="en-US" w:eastAsia="zh-CN"/>
        </w:rPr>
      </w:pPr>
    </w:p>
    <w:p>
      <w:pPr>
        <w:pStyle w:val="3"/>
        <w:ind w:firstLine="0" w:firstLineChars="0"/>
        <w:rPr>
          <w:rFonts w:hint="eastAsia" w:ascii="仿宋_GB2312" w:eastAsia="仿宋_GB2312" w:cs="宋体"/>
          <w:bCs/>
          <w:color w:val="000000"/>
          <w:kern w:val="0"/>
          <w:sz w:val="28"/>
          <w:szCs w:val="28"/>
        </w:rPr>
      </w:pPr>
    </w:p>
    <w:p>
      <w:pPr>
        <w:pStyle w:val="3"/>
        <w:ind w:firstLine="0" w:firstLineChars="0"/>
        <w:rPr>
          <w:rFonts w:hint="eastAsia" w:ascii="仿宋_GB2312" w:eastAsia="仿宋_GB2312" w:cs="宋体"/>
          <w:bCs/>
          <w:color w:val="000000"/>
          <w:kern w:val="0"/>
          <w:sz w:val="28"/>
          <w:szCs w:val="28"/>
        </w:rPr>
      </w:pPr>
    </w:p>
    <w:p>
      <w:pPr>
        <w:pStyle w:val="3"/>
        <w:ind w:firstLine="0" w:firstLineChars="0"/>
        <w:rPr>
          <w:rFonts w:hint="eastAsia" w:ascii="仿宋_GB2312" w:eastAsia="仿宋_GB2312" w:cs="宋体"/>
          <w:bCs/>
          <w:color w:val="000000"/>
          <w:kern w:val="0"/>
          <w:sz w:val="28"/>
          <w:szCs w:val="28"/>
        </w:rPr>
      </w:pPr>
    </w:p>
    <w:p>
      <w:pPr>
        <w:pStyle w:val="3"/>
        <w:rPr>
          <w:rFonts w:hint="eastAsia" w:ascii="仿宋_GB2312" w:eastAsia="仿宋_GB2312"/>
          <w:color w:val="000000"/>
          <w:sz w:val="28"/>
          <w:szCs w:val="28"/>
          <w:lang w:val="en-US" w:eastAsia="zh-CN"/>
        </w:rPr>
      </w:pPr>
    </w:p>
    <w:p>
      <w:pPr>
        <w:pStyle w:val="3"/>
        <w:rPr>
          <w:rFonts w:hint="eastAsia" w:ascii="宋体" w:hAnsi="宋体"/>
          <w:b/>
          <w:bCs/>
          <w:sz w:val="44"/>
          <w:szCs w:val="44"/>
          <w:lang w:val="en-US" w:eastAsia="zh-CN"/>
        </w:rPr>
      </w:pPr>
    </w:p>
    <w:p>
      <w:pPr>
        <w:pStyle w:val="3"/>
        <w:rPr>
          <w:rFonts w:hint="eastAsia" w:ascii="宋体" w:hAnsi="宋体"/>
          <w:b/>
          <w:bCs/>
          <w:sz w:val="44"/>
          <w:szCs w:val="44"/>
          <w:lang w:val="en-US" w:eastAsia="zh-CN"/>
        </w:rPr>
      </w:pPr>
    </w:p>
    <w:p>
      <w:pPr>
        <w:pStyle w:val="3"/>
        <w:rPr>
          <w:rFonts w:hint="eastAsia" w:ascii="宋体" w:hAnsi="宋体"/>
          <w:b/>
          <w:bCs/>
          <w:sz w:val="44"/>
          <w:szCs w:val="44"/>
          <w:lang w:val="en-US" w:eastAsia="zh-CN"/>
        </w:rPr>
      </w:pPr>
    </w:p>
    <w:p>
      <w:pPr>
        <w:ind w:firstLine="840" w:firstLineChars="300"/>
        <w:rPr>
          <w:rFonts w:ascii="仿宋_GB2312" w:eastAsia="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E2378"/>
    <w:rsid w:val="059828CA"/>
    <w:rsid w:val="0A2379CC"/>
    <w:rsid w:val="0A9C598B"/>
    <w:rsid w:val="0EEE2378"/>
    <w:rsid w:val="0F4C5227"/>
    <w:rsid w:val="152466FE"/>
    <w:rsid w:val="192A20AA"/>
    <w:rsid w:val="2653633A"/>
    <w:rsid w:val="329F6B99"/>
    <w:rsid w:val="35127F9E"/>
    <w:rsid w:val="36472B94"/>
    <w:rsid w:val="5BF07F29"/>
    <w:rsid w:val="620F6A3C"/>
    <w:rsid w:val="64116BA2"/>
    <w:rsid w:val="724F4299"/>
    <w:rsid w:val="7FEA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Cambria" w:hAnsi="Cambria" w:cs="Times New Roman"/>
      <w:b/>
      <w:bCs/>
      <w:sz w:val="32"/>
      <w:szCs w:val="32"/>
    </w:rPr>
  </w:style>
  <w:style w:type="paragraph" w:styleId="3">
    <w:name w:val="Normal Indent"/>
    <w:basedOn w:val="1"/>
    <w:unhideWhenUsed/>
    <w:qFormat/>
    <w:uiPriority w:val="99"/>
    <w:pPr>
      <w:ind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2025-08-26T06:17:00Z</dcterms:created>
  <dc:creator>Administrator</dc:creator>
  <cp:lastModifiedBy>Administrator</cp:lastModifiedBy>
  <dcterms:modified xsi:type="dcterms:W3CDTF">2025-08-27T08:38:25Z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74F4DCBA851841A3B393D1600AA72C24</vt:lpwstr>
  </property>
</Properties>
</file>