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600" w:tblpY="12"/>
        <w:tblOverlap w:val="never"/>
        <w:tblW w:w="89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2056"/>
        <w:gridCol w:w="868"/>
        <w:gridCol w:w="1118"/>
        <w:gridCol w:w="1114"/>
        <w:gridCol w:w="696"/>
        <w:gridCol w:w="836"/>
        <w:gridCol w:w="5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半壁街社区第五立面整治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3" w:colLast="4"/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199.26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164.45307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164.45307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1"/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199.26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164.45307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164.45307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</w:tbl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2111"/>
        <w:gridCol w:w="839"/>
        <w:gridCol w:w="837"/>
        <w:gridCol w:w="557"/>
        <w:gridCol w:w="557"/>
        <w:gridCol w:w="13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对现状不符合传统风貌的建筑实施改造，拆除屋面违法建设，整理胡同空间 ，营造清净、舒适的生活氛围。通过核心区街巷环境治理加强特色塑造 ，重点加强对街巷内各类环境要素的整体性、精细化、差异化管控，营造风貌特色突出、功能类型多样、空间形态丰富的特色街巷 ，展示核心区首都风范、古都风韵、时代风貌多元共生的街巷景观，打造更具文化魅力的公共空间环境。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基本完成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涉及工程数量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改善辖区居民居住环境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按年度执行预算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整体支出不超本项目预算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199.26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164.45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2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2"/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改善半壁街</w:t>
            </w:r>
            <w:r>
              <w:rPr>
                <w:rFonts w:hint="eastAsia" w:ascii="Segoe UI" w:hAnsi="Segoe UI" w:eastAsia="宋体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  <w:lang w:val="en-US" w:eastAsia="zh-CN"/>
              </w:rPr>
              <w:t>社区第五立面风貌环境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服务</w:t>
            </w:r>
            <w:r>
              <w:rPr>
                <w:rFonts w:hint="eastAsia" w:ascii="Segoe UI" w:hAnsi="Segoe UI" w:eastAsia="宋体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  <w:lang w:val="en-US" w:eastAsia="zh-CN"/>
              </w:rPr>
              <w:t>辖区单位、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小区</w:t>
            </w:r>
            <w:r>
              <w:rPr>
                <w:rFonts w:hint="eastAsia" w:ascii="Segoe UI" w:hAnsi="Segoe UI" w:eastAsia="宋体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  <w:lang w:eastAsia="zh-CN"/>
              </w:rPr>
              <w:t>、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平房院的居民满意度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BB87BC8"/>
    <w:rsid w:val="1DF40B09"/>
    <w:rsid w:val="25D266FD"/>
    <w:rsid w:val="27F96E32"/>
    <w:rsid w:val="35DC258F"/>
    <w:rsid w:val="45D20DC4"/>
    <w:rsid w:val="464E1FF8"/>
    <w:rsid w:val="4DF7349A"/>
    <w:rsid w:val="510F0923"/>
    <w:rsid w:val="53D2553B"/>
    <w:rsid w:val="65673EB2"/>
    <w:rsid w:val="679C4791"/>
    <w:rsid w:val="6BA6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56" w:beforeLines="50"/>
    </w:pPr>
    <w:rPr>
      <w:rFonts w:ascii="仿宋_GB2312" w:eastAsia="仿宋_GB2312"/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2025-08-27T08:52:35Z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