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both"/>
        <w:rPr>
          <w:rFonts w:hint="eastAsia"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pStyle w:val="2"/>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2"/>
        <w:rPr>
          <w:rFonts w:hint="eastAsia" w:ascii="仿宋_GB2312" w:eastAsia="仿宋_GB2312"/>
          <w:b w:val="0"/>
          <w:bCs w:val="0"/>
          <w:sz w:val="28"/>
          <w:szCs w:val="28"/>
        </w:r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rPr>
          <w:rFonts w:hint="eastAsia" w:ascii="仿宋_GB2312" w:eastAsia="仿宋_GB2312"/>
          <w:b w:val="0"/>
          <w:bCs w:val="0"/>
          <w:sz w:val="28"/>
          <w:szCs w:val="28"/>
        </w:rPr>
      </w:pPr>
    </w:p>
    <w:p>
      <w:pPr>
        <w:pStyle w:val="2"/>
        <w:rPr>
          <w:rFonts w:hint="eastAsia" w:ascii="仿宋_GB2312" w:eastAsia="仿宋_GB2312"/>
          <w:b w:val="0"/>
          <w:bCs w:val="0"/>
          <w:sz w:val="28"/>
          <w:szCs w:val="28"/>
        </w:rPr>
      </w:pPr>
    </w:p>
    <w:p>
      <w:pPr>
        <w:rPr>
          <w:rFonts w:hint="eastAsia" w:ascii="仿宋_GB2312" w:eastAsia="仿宋_GB2312"/>
          <w:b w:val="0"/>
          <w:bCs w:val="0"/>
          <w:sz w:val="28"/>
          <w:szCs w:val="28"/>
        </w:rPr>
      </w:pPr>
    </w:p>
    <w:p>
      <w:pPr>
        <w:pStyle w:val="2"/>
      </w:pPr>
    </w:p>
    <w:tbl>
      <w:tblPr>
        <w:tblStyle w:val="10"/>
        <w:tblW w:w="13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98"/>
        <w:gridCol w:w="1397"/>
        <w:gridCol w:w="700"/>
        <w:gridCol w:w="698"/>
        <w:gridCol w:w="1397"/>
        <w:gridCol w:w="1398"/>
        <w:gridCol w:w="3"/>
        <w:gridCol w:w="1394"/>
        <w:gridCol w:w="1398"/>
        <w:gridCol w:w="702"/>
        <w:gridCol w:w="695"/>
        <w:gridCol w:w="1398"/>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982" w:type="dxa"/>
            <w:gridSpan w:val="1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39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9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98"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9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9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97"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9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97"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9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04"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590" w:type="dxa"/>
            <w:gridSpan w:val="5"/>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1398"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397" w:type="dxa"/>
            <w:gridSpan w:val="2"/>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398"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397" w:type="dxa"/>
            <w:gridSpan w:val="2"/>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398"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404"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991" w:type="dxa"/>
            <w:gridSpan w:val="7"/>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6991" w:type="dxa"/>
            <w:gridSpan w:val="6"/>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项目（按功能分类）</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23,155.988652</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8,363.547565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176.459467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256.844452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7,555.155410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630.200538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4,799.384358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847.453122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23,196.996192</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23,196.996192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495"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23,196.996192</w:t>
            </w:r>
          </w:p>
        </w:tc>
        <w:tc>
          <w:tcPr>
            <w:tcW w:w="349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23,196.996192</w:t>
            </w:r>
          </w:p>
        </w:tc>
      </w:tr>
    </w:tbl>
    <w:p/>
    <w:p/>
    <w:p/>
    <w:p/>
    <w:p/>
    <w:p/>
    <w:p/>
    <w:p>
      <w:pPr>
        <w:pStyle w:val="2"/>
      </w:pPr>
    </w:p>
    <w:p/>
    <w:p/>
    <w:tbl>
      <w:tblPr>
        <w:tblStyle w:val="10"/>
        <w:tblW w:w="154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1"/>
        <w:gridCol w:w="733"/>
        <w:gridCol w:w="732"/>
        <w:gridCol w:w="3513"/>
        <w:gridCol w:w="1845"/>
        <w:gridCol w:w="1710"/>
        <w:gridCol w:w="1200"/>
        <w:gridCol w:w="1050"/>
        <w:gridCol w:w="1215"/>
        <w:gridCol w:w="1148"/>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15422" w:type="dxa"/>
            <w:gridSpan w:val="11"/>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73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3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3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51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84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5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4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45"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5709" w:type="dxa"/>
            <w:gridSpan w:val="4"/>
            <w:tcBorders>
              <w:top w:val="nil"/>
              <w:left w:val="nil"/>
              <w:bottom w:val="nil"/>
              <w:right w:val="nil"/>
            </w:tcBorders>
            <w:shd w:val="clear" w:color="auto" w:fill="auto"/>
            <w:noWrap/>
            <w:tcMar>
              <w:top w:w="12" w:type="dxa"/>
              <w:left w:w="12" w:type="dxa"/>
              <w:right w:w="12" w:type="dxa"/>
            </w:tcMar>
            <w:vAlign w:val="top"/>
          </w:tcPr>
          <w:p>
            <w:pPr>
              <w:jc w:val="left"/>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1845"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710"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200"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050"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215"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148"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545"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5709"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支出功能分类科目编码</w:t>
            </w:r>
          </w:p>
        </w:tc>
        <w:tc>
          <w:tcPr>
            <w:tcW w:w="351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351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184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73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73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351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45"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23,196.996192</w:t>
            </w:r>
          </w:p>
        </w:tc>
        <w:tc>
          <w:tcPr>
            <w:tcW w:w="1710"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23,196.996192</w:t>
            </w:r>
          </w:p>
        </w:tc>
        <w:tc>
          <w:tcPr>
            <w:tcW w:w="1200"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8,363.547565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8,363.547565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其他人大事务支出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7,198.282362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7,198.282362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3,737.709405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3,737.709405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709.213212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709.213212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2,751.359745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2,751.359745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其他统计信息事务支出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其他纪检监察事务支出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475.980022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475.980022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3.405745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3.405745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其他组织事务支出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472.574277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472.574277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其他宣传事务支出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统战事务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其他统战事务支出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12.085080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12.085080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11.976180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11.976180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0.108900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176.459467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176.459467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146.485573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146.485573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2040604</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基层司法业务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40.938140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40.938140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其他司法支出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105.547433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105.547433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2049999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256.844452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256.844452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66.587410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66.587410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2070104</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62.144210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62.144210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其他文化和旅游支出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4.443200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4.443200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7,555.155410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7,555.155410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2080105</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劳动保障监察</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3,691.125920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3,691.125920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基层政权建设和社区治理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3,396.051051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3,396.051051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其他民政管理事务支出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295.074869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295.074869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966.429104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966.429104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63.781800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63.781800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513.210352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513.210352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256.605176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256.605176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132.831776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132.831776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其他就业补助支出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218.396600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218.396600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86.365600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86.365600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其他优抚支出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132.031000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132.031000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346.320929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346.320929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30.015030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30.015030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老年福利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29.815030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29.815030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其他社会福利支出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城市最低生活保障金支出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其他城市生活救助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其他退役军人事务管理支出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630.200538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630.200538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其他卫生健康管理事务支出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其他计划生育事务支出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437.893284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437.893284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291.434676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291.434676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146.458608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146.458608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其他医疗救助支出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4,799.384358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4,799.384358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其他城乡社区管理事务支出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其他城乡社区公共设施支出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847.453122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847.453122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其他保障性安居工程支出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831.305884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831.305884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441.004884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441.004884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390.301000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390.301000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解决历史遗留问题及改革成本支出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2230105</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国有企业退休人员社会化管理补助支出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
    <w:p/>
    <w:p/>
    <w:p/>
    <w:p>
      <w:pPr>
        <w:pStyle w:val="2"/>
      </w:pPr>
    </w:p>
    <w:p/>
    <w:p>
      <w:pPr>
        <w:pStyle w:val="2"/>
      </w:pPr>
    </w:p>
    <w:p/>
    <w:p>
      <w:pPr>
        <w:pStyle w:val="2"/>
      </w:pPr>
    </w:p>
    <w:p/>
    <w:p/>
    <w:tbl>
      <w:tblPr>
        <w:tblStyle w:val="10"/>
        <w:tblW w:w="154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49"/>
        <w:gridCol w:w="1095"/>
        <w:gridCol w:w="1005"/>
        <w:gridCol w:w="4165"/>
        <w:gridCol w:w="1466"/>
        <w:gridCol w:w="1371"/>
        <w:gridCol w:w="1466"/>
        <w:gridCol w:w="1006"/>
        <w:gridCol w:w="1005"/>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15422"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174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0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416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6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7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6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0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0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4"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8014" w:type="dxa"/>
            <w:gridSpan w:val="4"/>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1466"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371"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466"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006"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005"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094"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8014"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支出功能分类科目编码</w:t>
            </w:r>
          </w:p>
        </w:tc>
        <w:tc>
          <w:tcPr>
            <w:tcW w:w="41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46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146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00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10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41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66"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23,196.996192</w:t>
            </w:r>
          </w:p>
        </w:tc>
        <w:tc>
          <w:tcPr>
            <w:tcW w:w="1371"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6,636.084713</w:t>
            </w:r>
          </w:p>
        </w:tc>
        <w:tc>
          <w:tcPr>
            <w:tcW w:w="1466"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16,560.911479</w:t>
            </w:r>
          </w:p>
        </w:tc>
        <w:tc>
          <w:tcPr>
            <w:tcW w:w="1006"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8,363.547565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4,446.922617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3,916.624948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其他人大事务支出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7,198.282362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4,446.922617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2,751.359745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3,737.709405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3,737.709405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709.213212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709.213212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2,751.359745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2,751.359745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其他统计信息事务支出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其他纪检监察事务支出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475.980022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475.980022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3.405745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3.405745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其他组织事务支出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472.574277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472.574277</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其他宣传事务支出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统战事务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其他统战事务支出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12.085080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12.085080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2013602</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11.976180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11.976180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0.108900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0.108900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176.459467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176.459467</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146.485573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146.485573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2040604</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基层司法业务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40.938140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40.938140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其他司法支出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105.547433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105.547433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其他公共安全支出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2049999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其他公共安全支出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256.844452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256.844452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66.587410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66.587410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2070104</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图书馆</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62.144210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62.144210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其他文化和旅游支出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4.443200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4.443200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7,555.155410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919.962928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6,635.192482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2080105</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劳动保障监察</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3,691.125920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3,691.125920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基层政权建设和社区治理</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3,396.051051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3,396.051051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其他民政管理事务支出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295.074869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295.074869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966.429104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833.597328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132.831776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63.781800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63.781800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513.210352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513.210352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256.605176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256.605176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其他行政事业单位养老支出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132.831776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132.831776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其他就业补助支出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218.396600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86.365600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132.031000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86.365600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86.365600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其他优抚支出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132.031000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132.031000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346.320929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346.320929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30.015030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30.015030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老年福利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29.815030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29.815030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其他社会福利支出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城市最低生活保障金支出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其他城市生活救助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其他退役军人事务管理支出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630.200538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437.893284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192.307254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其他卫生健康管理事务支出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其他计划生育事务支出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437.893284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437.893284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291.434676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291.434676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146.458608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146.458608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医疗救助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其他医疗救助支出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4,799.384358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4,799.384358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其他城乡社区管理事务支出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其他城乡社区公共设施支出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847.453122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831.305884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其他保障性安居工程支出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831.305884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831.305884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441.004884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441.004884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390.301000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390.301000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22301</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解决历史遗留问题及改革成本支出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2230105</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国有企业退休人员社会化管理补助支出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
    <w:p/>
    <w:p/>
    <w:p/>
    <w:p>
      <w:pPr>
        <w:pStyle w:val="2"/>
      </w:pPr>
    </w:p>
    <w:p/>
    <w:p>
      <w:pPr>
        <w:pStyle w:val="2"/>
      </w:pPr>
    </w:p>
    <w:p/>
    <w:p>
      <w:pPr>
        <w:pStyle w:val="2"/>
      </w:pPr>
    </w:p>
    <w:p/>
    <w:p/>
    <w:p>
      <w:pPr>
        <w:pStyle w:val="2"/>
      </w:pPr>
    </w:p>
    <w:tbl>
      <w:tblPr>
        <w:tblStyle w:val="10"/>
        <w:tblW w:w="145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6"/>
        <w:gridCol w:w="1216"/>
        <w:gridCol w:w="1216"/>
        <w:gridCol w:w="1216"/>
        <w:gridCol w:w="1215"/>
        <w:gridCol w:w="1216"/>
        <w:gridCol w:w="2"/>
        <w:gridCol w:w="1214"/>
        <w:gridCol w:w="1216"/>
        <w:gridCol w:w="3"/>
        <w:gridCol w:w="1212"/>
        <w:gridCol w:w="1216"/>
        <w:gridCol w:w="4"/>
        <w:gridCol w:w="1212"/>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14594" w:type="dxa"/>
            <w:gridSpan w:val="1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121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6"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5"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16"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20"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79" w:type="dxa"/>
            <w:gridSpan w:val="5"/>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1216"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216" w:type="dxa"/>
            <w:gridSpan w:val="2"/>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216"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215" w:type="dxa"/>
            <w:gridSpan w:val="2"/>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216" w:type="dxa"/>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216" w:type="dxa"/>
            <w:gridSpan w:val="2"/>
            <w:tcBorders>
              <w:top w:val="nil"/>
              <w:left w:val="nil"/>
              <w:bottom w:val="nil"/>
              <w:right w:val="nil"/>
            </w:tcBorders>
            <w:shd w:val="clear" w:color="auto" w:fill="auto"/>
            <w:noWrap/>
            <w:tcMar>
              <w:top w:w="12" w:type="dxa"/>
              <w:left w:w="12" w:type="dxa"/>
              <w:right w:w="12" w:type="dxa"/>
            </w:tcMar>
            <w:vAlign w:val="bottom"/>
          </w:tcPr>
          <w:p>
            <w:pPr>
              <w:rPr>
                <w:rFonts w:hint="eastAsia" w:ascii="宋体" w:hAnsi="宋体" w:eastAsia="宋体" w:cs="宋体"/>
                <w:b/>
                <w:i w:val="0"/>
                <w:color w:val="000000"/>
                <w:sz w:val="22"/>
                <w:szCs w:val="22"/>
                <w:u w:val="none"/>
              </w:rPr>
            </w:pPr>
          </w:p>
        </w:tc>
        <w:tc>
          <w:tcPr>
            <w:tcW w:w="122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7297" w:type="dxa"/>
            <w:gridSpan w:val="7"/>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7297" w:type="dxa"/>
            <w:gridSpan w:val="8"/>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2432"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32"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43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项目（按功能分类）</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432"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2432"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243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23,155.988652</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8,363.547565</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176.459467</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256.844452</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7,555.155410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630.200538</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4,799.384358</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847.453122</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23,196.996192</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23,155.988652</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432"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23,196.996192</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23,155.988652</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2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r>
    </w:tbl>
    <w:p/>
    <w:p>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p>
    <w:tbl>
      <w:tblPr>
        <w:tblStyle w:val="10"/>
        <w:tblW w:w="145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07"/>
        <w:gridCol w:w="251"/>
        <w:gridCol w:w="258"/>
        <w:gridCol w:w="4128"/>
        <w:gridCol w:w="1466"/>
        <w:gridCol w:w="1363"/>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14594" w:type="dxa"/>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550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5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5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412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6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6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21"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5507"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25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25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412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146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136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1621"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10144"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支出功能分类科目编码</w:t>
            </w:r>
          </w:p>
        </w:tc>
        <w:tc>
          <w:tcPr>
            <w:tcW w:w="412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412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146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62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550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25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25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412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6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23,155.988652</w:t>
            </w:r>
          </w:p>
        </w:tc>
        <w:tc>
          <w:tcPr>
            <w:tcW w:w="136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6,636.084713</w:t>
            </w:r>
          </w:p>
        </w:tc>
        <w:tc>
          <w:tcPr>
            <w:tcW w:w="162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16,519.903939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8,363.547565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4,446.922617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3,916.624948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其他人大事务支出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7,198.282362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4,446.922617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2,751.359745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3,737.709405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3,737.709405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709.213212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709.213212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2,751.359745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2,751.359745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其他统计信息事务支出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24.978300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其他纪检监察事务支出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82.029853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475.980022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475.980022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3.405745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3.405745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其他组织事务支出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472.574277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472.574277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其他宣传事务支出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200.472861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统战事务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其他统战事务支出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12.085080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11.976180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11.976180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0.108900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350.541151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176.459467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176.459467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146.485573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146.485573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2040604</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基层司法业务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40.938140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40.938140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其他司法支出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105.547433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105.547433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其他公共安全支出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2049999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其他公共安全支出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29.973894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256.844452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256.844452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66.587410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66.587410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2070104</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图书馆</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62.144210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62.144210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其他文化和旅游支出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4.443200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190.257042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7,555.155410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919.962928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6,635.192482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2080105</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劳动保障监察</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3,691.125920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3,691.125920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基层政权建设和社区治理</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3,396.051051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3,396.051051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其他民政管理事务支出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295.074869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295.074869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966.429104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833.597328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132.831776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63.781800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63.781800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513.210352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513.210352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256.605176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256.605176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其他行政事业单位养老支出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132.831776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132.831776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其他就业补助支出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97.252784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218.396600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86.365600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86.365600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86.365600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其他优抚支出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132.031000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346.320929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346.320929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30.015030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30.015030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老年福利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29.815030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其他社会福利支出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0.200000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331.132135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城市最低生活保障金支出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1,382.451878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37.166721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其他城市生活救助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300.770639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其他退役军人事务管理支出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145.927510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630.200538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437.893284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192.307254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其他卫生健康管理事务支出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40.284700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其他计划生育事务支出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122.291025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437.893284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437.893284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291.434676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291.434676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146.458608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146.458608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医疗救助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其他医疗救助支出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11.784509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17.947020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526.943740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4,799.384358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4,799.384358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其他城乡社区管理事务支出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831.043869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898.452711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其他城乡社区公共设施支出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36.656018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1,769.115735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1,264.116025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847.453122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831.305884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其他保障性安居工程支出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16.147238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831.305884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831.305884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441.004884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441.004884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390.301000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390.301000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0"/>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3"/>
        <w:gridCol w:w="973"/>
        <w:gridCol w:w="486"/>
        <w:gridCol w:w="487"/>
        <w:gridCol w:w="973"/>
        <w:gridCol w:w="972"/>
        <w:gridCol w:w="973"/>
        <w:gridCol w:w="973"/>
        <w:gridCol w:w="486"/>
        <w:gridCol w:w="487"/>
        <w:gridCol w:w="973"/>
        <w:gridCol w:w="973"/>
        <w:gridCol w:w="973"/>
        <w:gridCol w:w="243"/>
        <w:gridCol w:w="730"/>
        <w:gridCol w:w="487"/>
        <w:gridCol w:w="486"/>
        <w:gridCol w:w="972"/>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594" w:type="dxa"/>
            <w:gridSpan w:val="19"/>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4"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837" w:type="dxa"/>
            <w:gridSpan w:val="7"/>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1946"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5,973.098095</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502.358118</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748.360400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43.566480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1,638.284950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94.630300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0.036000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421.505700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7.552500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513.210352</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91.935302</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256.605176</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6.013200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401.434676</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50.178540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36.458608</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38.885549</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1.211300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441.004884</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17.908663</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1,382.717500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2.397600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160.628500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15.345900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63.497500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0.169000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86.365600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4.246354</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59.431956</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50.637309</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0.560934</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5.004000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10.465400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146.163080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486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6,133.726595</w:t>
            </w:r>
          </w:p>
        </w:tc>
        <w:tc>
          <w:tcPr>
            <w:tcW w:w="3649" w:type="dxa"/>
            <w:gridSpan w:val="5"/>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364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502.358118</w:t>
            </w:r>
          </w:p>
        </w:tc>
      </w:tr>
    </w:tbl>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0"/>
        <w:tblW w:w="145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9"/>
        <w:gridCol w:w="479"/>
        <w:gridCol w:w="479"/>
        <w:gridCol w:w="3306"/>
        <w:gridCol w:w="1671"/>
        <w:gridCol w:w="1671"/>
        <w:gridCol w:w="1616"/>
        <w:gridCol w:w="1616"/>
        <w:gridCol w:w="1616"/>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14594"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47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47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47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30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7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7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1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1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1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6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12933" w:type="dxa"/>
            <w:gridSpan w:val="9"/>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1661"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474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4848"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143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支出功能分类科目编码</w:t>
            </w:r>
          </w:p>
        </w:tc>
        <w:tc>
          <w:tcPr>
            <w:tcW w:w="330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1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61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143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330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167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67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4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4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330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71"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671"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1.770000</w:t>
            </w:r>
          </w:p>
        </w:tc>
        <w:tc>
          <w:tcPr>
            <w:tcW w:w="1616"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1.770000</w:t>
            </w:r>
          </w:p>
        </w:tc>
        <w:tc>
          <w:tcPr>
            <w:tcW w:w="1616"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616"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1.770000</w:t>
            </w:r>
          </w:p>
        </w:tc>
        <w:tc>
          <w:tcPr>
            <w:tcW w:w="1661" w:type="dxa"/>
            <w:tcBorders>
              <w:top w:val="single" w:color="000000" w:sz="4" w:space="0"/>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0"/>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2"/>
        <w:gridCol w:w="973"/>
        <w:gridCol w:w="486"/>
        <w:gridCol w:w="487"/>
        <w:gridCol w:w="973"/>
        <w:gridCol w:w="972"/>
        <w:gridCol w:w="973"/>
        <w:gridCol w:w="973"/>
        <w:gridCol w:w="486"/>
        <w:gridCol w:w="487"/>
        <w:gridCol w:w="973"/>
        <w:gridCol w:w="973"/>
        <w:gridCol w:w="973"/>
        <w:gridCol w:w="242"/>
        <w:gridCol w:w="731"/>
        <w:gridCol w:w="486"/>
        <w:gridCol w:w="487"/>
        <w:gridCol w:w="972"/>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594" w:type="dxa"/>
            <w:gridSpan w:val="19"/>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5"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836" w:type="dxa"/>
            <w:gridSpan w:val="7"/>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9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1947"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其他资本性补助</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3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431"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486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648" w:type="dxa"/>
            <w:gridSpan w:val="5"/>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36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0"/>
        <w:tblW w:w="134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675"/>
        <w:gridCol w:w="931"/>
        <w:gridCol w:w="4052"/>
        <w:gridCol w:w="2400"/>
        <w:gridCol w:w="2232"/>
        <w:gridCol w:w="2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3437" w:type="dxa"/>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7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7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3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405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0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23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72"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0965" w:type="dxa"/>
            <w:gridSpan w:val="6"/>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247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333"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710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28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支出功能分类科目编码</w:t>
            </w:r>
          </w:p>
        </w:tc>
        <w:tc>
          <w:tcPr>
            <w:tcW w:w="405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40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23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47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28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240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47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93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405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39.237540</w:t>
            </w:r>
          </w:p>
        </w:tc>
        <w:tc>
          <w:tcPr>
            <w:tcW w:w="223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247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39.237540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22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22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22301</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解决历史遗留问题及改革成本支出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22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2230105</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国有企业退休人员社会化管理补助支出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39.237540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0"/>
        <w:tblW w:w="145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41"/>
        <w:gridCol w:w="240"/>
        <w:gridCol w:w="1426"/>
        <w:gridCol w:w="1607"/>
        <w:gridCol w:w="1503"/>
        <w:gridCol w:w="1594"/>
        <w:gridCol w:w="1553"/>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6" w:hRule="atLeast"/>
          <w:jc w:val="center"/>
        </w:trPr>
        <w:tc>
          <w:tcPr>
            <w:tcW w:w="14594"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504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0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0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9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5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jc w:val="center"/>
        </w:trPr>
        <w:tc>
          <w:tcPr>
            <w:tcW w:w="5041"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240"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426"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607"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503"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594"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55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3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5281"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“三公”经费财政拨款合计</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因公出国（境）费用</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4777"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528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528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5281"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2024年预算</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5.329216</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2.879216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5281"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2024年决算</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0.729934</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0.169000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0.560934</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0.560934</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rPr>
      </w:pPr>
    </w:p>
    <w:tbl>
      <w:tblPr>
        <w:tblStyle w:val="10"/>
        <w:tblW w:w="11370" w:type="dxa"/>
        <w:jc w:val="center"/>
        <w:tblInd w:w="1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48"/>
        <w:gridCol w:w="30"/>
        <w:gridCol w:w="30"/>
        <w:gridCol w:w="30"/>
        <w:gridCol w:w="6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11370"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514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32"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514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30"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30"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30"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613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5238"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613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5238"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政府采购支出信息</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5238"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（一）政府采购支出合计</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5,512.650487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5238"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248.050908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5238"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1,167.012757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5238"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4,097.586822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5238"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（二）政府采购授予中小企业合同金额</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5,171.561931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5238"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61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2,931.739320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0"/>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47"/>
        <w:gridCol w:w="1424"/>
        <w:gridCol w:w="4656"/>
        <w:gridCol w:w="1217"/>
        <w:gridCol w:w="3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594"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64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73" w:type="dxa"/>
            <w:gridSpan w:val="2"/>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650"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单位名称：北京市西城区人民政府陶然亭街道办事处</w:t>
            </w:r>
          </w:p>
        </w:tc>
        <w:tc>
          <w:tcPr>
            <w:tcW w:w="9523" w:type="dxa"/>
            <w:gridSpan w:val="3"/>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一级目录</w:t>
            </w: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二级目录</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952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2,456.110435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2,227.518070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125.349649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教育公共服务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就业公共服务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129.366146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卫生健康公共服务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生态保护和环境治理服务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1,571.034775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科技公共服务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文化公共服务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150.557700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体育公共服务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社会治理服务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城乡维护服务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农业、林业和水利公共服务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交通运输公共服务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公共信息与宣传服务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39.977300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行业管理服务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技术性公共服务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政府履职辅助性服务</w:t>
            </w: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228.592365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课题研究和社会调查服务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会计审计服务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监督检查辅助服务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评审、评估和评价服务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机关工作人员培训服务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130.197365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07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其他辅助性服务</w:t>
            </w:r>
          </w:p>
        </w:tc>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rPr>
          <w:rFonts w:hint="eastAsia" w:ascii="宋体" w:hAnsi="宋体" w:cs="宋体"/>
          <w:b/>
          <w:bCs/>
          <w:spacing w:val="40"/>
          <w:kern w:val="0"/>
          <w:sz w:val="32"/>
          <w:szCs w:val="32"/>
        </w:rPr>
      </w:pPr>
    </w:p>
    <w:p>
      <w:pPr>
        <w:pStyle w:val="2"/>
        <w:rPr>
          <w:rFonts w:hint="eastAsia"/>
        </w:rPr>
      </w:pPr>
    </w:p>
    <w:p>
      <w:pPr>
        <w:tabs>
          <w:tab w:val="center" w:pos="6979"/>
        </w:tabs>
        <w:spacing w:before="156" w:beforeLines="50" w:after="156" w:afterLines="50"/>
        <w:ind w:firstLine="3200" w:firstLineChars="800"/>
        <w:jc w:val="both"/>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p>
    <w:p>
      <w:pPr>
        <w:tabs>
          <w:tab w:val="center" w:pos="6979"/>
        </w:tabs>
        <w:spacing w:line="580" w:lineRule="exact"/>
        <w:ind w:firstLine="700" w:firstLineChars="250"/>
        <w:rPr>
          <w:rFonts w:hint="eastAsia" w:ascii="仿宋_GB2312" w:eastAsia="仿宋_GB2312"/>
          <w:sz w:val="28"/>
          <w:szCs w:val="28"/>
          <w:lang w:eastAsia="zh-CN"/>
        </w:rPr>
      </w:pPr>
      <w:r>
        <w:rPr>
          <w:rFonts w:hint="eastAsia" w:ascii="仿宋_GB2312" w:eastAsia="仿宋_GB2312"/>
          <w:sz w:val="28"/>
          <w:szCs w:val="28"/>
        </w:rPr>
        <w:t>机构</w:t>
      </w:r>
      <w:r>
        <w:rPr>
          <w:rFonts w:ascii="仿宋_GB2312" w:eastAsia="仿宋_GB2312"/>
          <w:sz w:val="28"/>
          <w:szCs w:val="28"/>
        </w:rPr>
        <w:t>设置</w:t>
      </w:r>
      <w:r>
        <w:rPr>
          <w:rFonts w:hint="eastAsia" w:ascii="仿宋_GB2312" w:eastAsia="仿宋_GB2312"/>
          <w:sz w:val="28"/>
          <w:szCs w:val="28"/>
          <w:lang w:eastAsia="zh-CN"/>
        </w:rPr>
        <w:t>：</w:t>
      </w:r>
    </w:p>
    <w:p>
      <w:pPr>
        <w:spacing w:line="360" w:lineRule="auto"/>
        <w:ind w:firstLine="555"/>
        <w:rPr>
          <w:rFonts w:ascii="仿宋" w:hAnsi="仿宋" w:eastAsia="仿宋"/>
          <w:sz w:val="32"/>
          <w:szCs w:val="32"/>
        </w:rPr>
      </w:pPr>
      <w:r>
        <w:rPr>
          <w:rFonts w:hint="eastAsia" w:ascii="仿宋" w:hAnsi="仿宋" w:eastAsia="仿宋" w:cs="宋体"/>
          <w:color w:val="000000"/>
          <w:kern w:val="0"/>
          <w:sz w:val="32"/>
          <w:szCs w:val="32"/>
        </w:rPr>
        <w:t>北京市西城区人民政府陶然亭街道办事处是西城区人民政府的派出机关，是代表区政府对街道辖区行使管理职权的基层行政组织，行使区政府赋予的职权，机构设置如下：纪工委（监察组）、综合行政执法队、综合办公室、党群工作办公室、平安建设办公室、城市管理办公室、社区建设办公室、民生保障办公室、陶然亭街道党群服务中心、陶然亭街道市民服务中心、陶然亭街道全响应街区治理中心。</w:t>
      </w:r>
      <w:bookmarkStart w:id="15" w:name="_GoBack"/>
      <w:bookmarkEnd w:id="15"/>
      <w:r>
        <w:rPr>
          <w:rFonts w:hint="eastAsia" w:ascii="仿宋" w:hAnsi="仿宋" w:eastAsia="仿宋"/>
          <w:sz w:val="32"/>
          <w:szCs w:val="32"/>
        </w:rPr>
        <w:t>办事处主要职责：</w:t>
      </w:r>
    </w:p>
    <w:p>
      <w:pPr>
        <w:spacing w:line="360" w:lineRule="auto"/>
        <w:ind w:firstLine="555"/>
        <w:rPr>
          <w:rFonts w:ascii="仿宋" w:hAnsi="仿宋" w:eastAsia="仿宋" w:cs="宋体"/>
          <w:color w:val="000000"/>
          <w:kern w:val="0"/>
          <w:sz w:val="32"/>
          <w:szCs w:val="32"/>
        </w:rPr>
      </w:pPr>
      <w:r>
        <w:rPr>
          <w:rFonts w:hint="eastAsia" w:ascii="仿宋" w:hAnsi="仿宋" w:eastAsia="仿宋"/>
          <w:sz w:val="32"/>
          <w:szCs w:val="32"/>
        </w:rPr>
        <w:t>1．</w:t>
      </w:r>
      <w:r>
        <w:rPr>
          <w:rFonts w:hint="eastAsia" w:ascii="仿宋" w:hAnsi="仿宋" w:eastAsia="仿宋" w:cs="宋体"/>
          <w:color w:val="000000"/>
          <w:kern w:val="0"/>
          <w:sz w:val="32"/>
          <w:szCs w:val="32"/>
        </w:rPr>
        <w:t>贯彻执行法律、法规、规章和市、区政府的决策部署，依法管理基层公共事务。</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2．承担辖区市容环境卫生、绿化美化的管理工作，推进街巷长、河长制工作，组织、协调城市管理综合执法和环境秩序综合治理工作，推进城市精细化管理。</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3．协助依法履行安全生产、消防安全、食品安全、环境保护、劳动保障、流动人口及出租房屋监督管理工作，承担辖区</w:t>
      </w:r>
      <w:r>
        <w:rPr>
          <w:rFonts w:hint="eastAsia" w:ascii="宋体" w:hAnsi="宋体" w:cs="宋体"/>
          <w:color w:val="000000"/>
          <w:kern w:val="0"/>
          <w:sz w:val="32"/>
          <w:szCs w:val="32"/>
        </w:rPr>
        <w:t> </w:t>
      </w:r>
      <w:r>
        <w:rPr>
          <w:rFonts w:hint="eastAsia" w:ascii="仿宋" w:hAnsi="仿宋" w:eastAsia="仿宋" w:cs="宋体"/>
          <w:color w:val="000000"/>
          <w:kern w:val="0"/>
          <w:sz w:val="32"/>
          <w:szCs w:val="32"/>
        </w:rPr>
        <w:t>应急、防汛和防灾减灾工作。</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4．参与制定并组织实施社区建设规划和公共服务设施规划，组织辖区单位、居民和志愿者队伍为社区发展服务。</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5．负责社区居民委员会建设，指导社区居民委员会工作，培育、发展社区社会组织，指导、监督社区业主委员会。</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6．推进居民自治，动员社会力量参与社区治理，推动形成社区共治合力。向上级政府反映社情民意。</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7．组织开展群众性文化、体育、科普活动，开展法治宣</w:t>
      </w:r>
      <w:r>
        <w:rPr>
          <w:rFonts w:hint="eastAsia" w:ascii="宋体" w:hAnsi="宋体" w:cs="宋体"/>
          <w:color w:val="000000"/>
          <w:kern w:val="0"/>
          <w:sz w:val="32"/>
          <w:szCs w:val="32"/>
        </w:rPr>
        <w:t> </w:t>
      </w:r>
      <w:r>
        <w:rPr>
          <w:rFonts w:hint="eastAsia" w:ascii="仿宋" w:hAnsi="仿宋" w:eastAsia="仿宋" w:cs="宋体"/>
          <w:color w:val="000000"/>
          <w:kern w:val="0"/>
          <w:sz w:val="32"/>
          <w:szCs w:val="32"/>
        </w:rPr>
        <w:t>传和社会公德教育，推动社区公益事业发展。</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8．组织开展公共服务，落实人力社保、民政、卫生健康、教育、住房保障、便民服务等政策，维护老年人、妇女、未成年人、残疾人等合法权益。</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9．负责联系、服务辖区单位，营造良好的营商环境。</w:t>
      </w:r>
      <w:r>
        <w:rPr>
          <w:rFonts w:hint="eastAsia" w:ascii="宋体" w:hAnsi="宋体" w:cs="宋体"/>
          <w:color w:val="000000"/>
          <w:kern w:val="0"/>
          <w:sz w:val="32"/>
          <w:szCs w:val="32"/>
        </w:rPr>
        <w:t> </w:t>
      </w:r>
    </w:p>
    <w:p>
      <w:pPr>
        <w:spacing w:line="360" w:lineRule="auto"/>
        <w:ind w:firstLine="555"/>
        <w:rPr>
          <w:rFonts w:hint="eastAsia"/>
          <w:lang w:eastAsia="zh-CN"/>
        </w:rPr>
      </w:pPr>
      <w:r>
        <w:rPr>
          <w:rFonts w:hint="eastAsia" w:ascii="仿宋" w:hAnsi="仿宋" w:eastAsia="仿宋" w:cs="宋体"/>
          <w:color w:val="000000"/>
          <w:kern w:val="0"/>
          <w:sz w:val="32"/>
          <w:szCs w:val="32"/>
        </w:rPr>
        <w:t>10．承办区政府交办的其他事项。</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23197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23409万元</w:t>
      </w:r>
      <w:r>
        <w:rPr>
          <w:rFonts w:hint="eastAsia" w:ascii="仿宋_GB2312" w:eastAsia="仿宋_GB2312"/>
          <w:sz w:val="28"/>
          <w:szCs w:val="28"/>
        </w:rPr>
        <w:t>减少</w:t>
      </w:r>
      <w:r>
        <w:rPr>
          <w:rFonts w:hint="eastAsia" w:ascii="仿宋_GB2312" w:eastAsia="仿宋_GB2312"/>
          <w:sz w:val="28"/>
          <w:szCs w:val="28"/>
          <w:lang w:val="en-US" w:eastAsia="zh-CN"/>
        </w:rPr>
        <w:t>212</w:t>
      </w:r>
      <w:r>
        <w:rPr>
          <w:rFonts w:hint="eastAsia" w:ascii="仿宋_GB2312" w:eastAsia="仿宋_GB2312"/>
          <w:sz w:val="28"/>
          <w:szCs w:val="28"/>
        </w:rPr>
        <w:t>万元，下降</w:t>
      </w:r>
      <w:r>
        <w:rPr>
          <w:rFonts w:hint="eastAsia" w:ascii="仿宋_GB2312" w:eastAsia="仿宋_GB2312"/>
          <w:sz w:val="28"/>
          <w:szCs w:val="28"/>
          <w:lang w:val="en-US" w:eastAsia="zh-CN"/>
        </w:rPr>
        <w:t>0.90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23197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23409万元</w:t>
      </w:r>
      <w:r>
        <w:rPr>
          <w:rFonts w:hint="eastAsia" w:ascii="仿宋_GB2312" w:eastAsia="仿宋_GB2312"/>
          <w:sz w:val="28"/>
          <w:szCs w:val="28"/>
        </w:rPr>
        <w:t>减少</w:t>
      </w:r>
      <w:r>
        <w:rPr>
          <w:rFonts w:hint="eastAsia" w:ascii="仿宋_GB2312" w:eastAsia="仿宋_GB2312"/>
          <w:sz w:val="28"/>
          <w:szCs w:val="28"/>
          <w:lang w:val="en-US" w:eastAsia="zh-CN"/>
        </w:rPr>
        <w:t>212</w:t>
      </w:r>
      <w:r>
        <w:rPr>
          <w:rFonts w:hint="eastAsia" w:ascii="仿宋_GB2312" w:eastAsia="仿宋_GB2312"/>
          <w:sz w:val="28"/>
          <w:szCs w:val="28"/>
        </w:rPr>
        <w:t>万元，下降</w:t>
      </w:r>
      <w:r>
        <w:rPr>
          <w:rFonts w:hint="eastAsia" w:ascii="仿宋_GB2312" w:eastAsia="仿宋_GB2312"/>
          <w:sz w:val="28"/>
          <w:szCs w:val="28"/>
          <w:lang w:val="en-US" w:eastAsia="zh-CN"/>
        </w:rPr>
        <w:t>0.90</w:t>
      </w:r>
      <w:r>
        <w:rPr>
          <w:rFonts w:hint="eastAsia" w:ascii="仿宋_GB2312" w:eastAsia="仿宋_GB2312"/>
          <w:sz w:val="28"/>
          <w:szCs w:val="28"/>
        </w:rPr>
        <w:t>%</w:t>
      </w:r>
      <w:r>
        <w:rPr>
          <w:rFonts w:hint="eastAsia" w:ascii="仿宋_GB2312" w:eastAsia="仿宋_GB2312"/>
          <w:sz w:val="28"/>
          <w:szCs w:val="28"/>
          <w:lang w:eastAsia="zh-CN"/>
        </w:rPr>
        <w:t>。</w:t>
      </w:r>
    </w:p>
    <w:p>
      <w:pPr>
        <w:numPr>
          <w:ilvl w:val="0"/>
          <w:numId w:val="0"/>
        </w:num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财政拨款收入</w:t>
      </w:r>
      <w:r>
        <w:rPr>
          <w:rFonts w:ascii="仿宋_GB2312" w:eastAsia="仿宋_GB2312"/>
          <w:sz w:val="28"/>
          <w:szCs w:val="28"/>
        </w:rPr>
        <w:t>23197</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w:t>
      </w:r>
      <w:r>
        <w:rPr>
          <w:rFonts w:hint="eastAsia" w:ascii="仿宋_GB2312" w:eastAsia="仿宋_GB2312"/>
          <w:sz w:val="28"/>
          <w:szCs w:val="28"/>
          <w:lang w:eastAsia="zh-CN"/>
        </w:rPr>
        <w:t>一般公共预算财政拨款收入</w:t>
      </w:r>
      <w:r>
        <w:rPr>
          <w:rFonts w:ascii="仿宋_GB2312" w:eastAsia="仿宋_GB2312"/>
          <w:sz w:val="28"/>
          <w:szCs w:val="28"/>
        </w:rPr>
        <w:t>23155.99</w:t>
      </w:r>
      <w:r>
        <w:rPr>
          <w:rFonts w:hint="eastAsia" w:ascii="仿宋_GB2312" w:eastAsia="仿宋_GB2312"/>
          <w:sz w:val="28"/>
          <w:szCs w:val="28"/>
        </w:rPr>
        <w:t>万元，占收入合计的</w:t>
      </w:r>
      <w:r>
        <w:rPr>
          <w:rFonts w:hint="eastAsia" w:ascii="仿宋_GB2312" w:eastAsia="仿宋_GB2312"/>
          <w:sz w:val="28"/>
          <w:szCs w:val="28"/>
          <w:lang w:eastAsia="zh-CN"/>
        </w:rPr>
        <w:t>99.82</w:t>
      </w:r>
      <w:r>
        <w:rPr>
          <w:rFonts w:hint="eastAsia" w:ascii="仿宋_GB2312" w:eastAsia="仿宋_GB2312"/>
          <w:sz w:val="28"/>
          <w:szCs w:val="28"/>
        </w:rPr>
        <w:t>%；</w:t>
      </w:r>
      <w:r>
        <w:rPr>
          <w:rFonts w:hint="eastAsia" w:ascii="仿宋_GB2312" w:eastAsia="仿宋_GB2312"/>
          <w:sz w:val="28"/>
          <w:szCs w:val="28"/>
          <w:lang w:eastAsia="zh-CN"/>
        </w:rPr>
        <w:t>政府性基金预算财政拨款收入</w:t>
      </w:r>
      <w:r>
        <w:rPr>
          <w:rFonts w:ascii="仿宋_GB2312" w:eastAsia="仿宋_GB2312"/>
          <w:sz w:val="28"/>
          <w:szCs w:val="28"/>
        </w:rPr>
        <w:t>1.77</w:t>
      </w:r>
      <w:r>
        <w:rPr>
          <w:rFonts w:hint="eastAsia" w:ascii="仿宋_GB2312" w:eastAsia="仿宋_GB2312"/>
          <w:sz w:val="28"/>
          <w:szCs w:val="28"/>
        </w:rPr>
        <w:t>万元，占收入合计的</w:t>
      </w:r>
      <w:r>
        <w:rPr>
          <w:rFonts w:hint="eastAsia" w:ascii="仿宋_GB2312" w:eastAsia="仿宋_GB2312"/>
          <w:sz w:val="28"/>
          <w:szCs w:val="28"/>
          <w:lang w:eastAsia="zh-CN"/>
        </w:rPr>
        <w:t>0.01</w:t>
      </w:r>
      <w:r>
        <w:rPr>
          <w:rFonts w:hint="eastAsia" w:ascii="仿宋_GB2312" w:eastAsia="仿宋_GB2312"/>
          <w:sz w:val="28"/>
          <w:szCs w:val="28"/>
        </w:rPr>
        <w:t>%；</w:t>
      </w:r>
      <w:r>
        <w:rPr>
          <w:rFonts w:hint="eastAsia" w:ascii="仿宋_GB2312" w:eastAsia="仿宋_GB2312"/>
          <w:sz w:val="28"/>
          <w:szCs w:val="28"/>
          <w:lang w:eastAsia="zh-CN"/>
        </w:rPr>
        <w:t>国有资本经营预算财政拨款收入</w:t>
      </w:r>
      <w:r>
        <w:rPr>
          <w:rFonts w:ascii="仿宋_GB2312" w:eastAsia="仿宋_GB2312"/>
          <w:sz w:val="28"/>
          <w:szCs w:val="28"/>
        </w:rPr>
        <w:t>39.24</w:t>
      </w:r>
      <w:r>
        <w:rPr>
          <w:rFonts w:hint="eastAsia" w:ascii="仿宋_GB2312" w:eastAsia="仿宋_GB2312"/>
          <w:sz w:val="28"/>
          <w:szCs w:val="28"/>
        </w:rPr>
        <w:t>万元，占收入合计的</w:t>
      </w:r>
      <w:r>
        <w:rPr>
          <w:rFonts w:hint="eastAsia" w:ascii="仿宋_GB2312" w:eastAsia="仿宋_GB2312"/>
          <w:sz w:val="28"/>
          <w:szCs w:val="28"/>
          <w:lang w:eastAsia="zh-CN"/>
        </w:rPr>
        <w:t>0.17</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2"/>
        <w:ind w:firstLine="0"/>
        <w:jc w:val="center"/>
      </w:pPr>
      <w:r>
        <w:rPr>
          <w:rFonts w:hint="eastAsia" w:ascii="仿宋_GB2312" w:eastAsia="仿宋_GB2312"/>
          <w:color w:val="000000"/>
          <w:sz w:val="32"/>
          <w:szCs w:val="32"/>
          <w:highlight w:val="none"/>
          <w:lang w:val="en-US" w:eastAsia="zh-CN"/>
        </w:rPr>
        <w:t>图1：收入决算</w:t>
      </w:r>
    </w:p>
    <w:p>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23197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23409万元</w:t>
      </w:r>
      <w:r>
        <w:rPr>
          <w:rFonts w:hint="eastAsia" w:ascii="仿宋_GB2312" w:eastAsia="仿宋_GB2312"/>
          <w:sz w:val="28"/>
          <w:szCs w:val="28"/>
        </w:rPr>
        <w:t>减少</w:t>
      </w:r>
      <w:r>
        <w:rPr>
          <w:rFonts w:hint="eastAsia" w:ascii="仿宋_GB2312" w:eastAsia="仿宋_GB2312"/>
          <w:sz w:val="28"/>
          <w:szCs w:val="28"/>
          <w:lang w:val="en-US" w:eastAsia="zh-CN"/>
        </w:rPr>
        <w:t>212</w:t>
      </w:r>
      <w:r>
        <w:rPr>
          <w:rFonts w:hint="eastAsia" w:ascii="仿宋_GB2312" w:eastAsia="仿宋_GB2312"/>
          <w:sz w:val="28"/>
          <w:szCs w:val="28"/>
        </w:rPr>
        <w:t>万元，下降</w:t>
      </w:r>
      <w:r>
        <w:rPr>
          <w:rFonts w:hint="eastAsia" w:ascii="仿宋_GB2312" w:eastAsia="仿宋_GB2312"/>
          <w:sz w:val="28"/>
          <w:szCs w:val="28"/>
          <w:lang w:val="en-US" w:eastAsia="zh-CN"/>
        </w:rPr>
        <w:t>0.90</w:t>
      </w:r>
      <w:r>
        <w:rPr>
          <w:rFonts w:hint="eastAsia" w:ascii="仿宋_GB2312" w:eastAsia="仿宋_GB2312"/>
          <w:sz w:val="28"/>
          <w:szCs w:val="28"/>
        </w:rPr>
        <w:t>%，其中：基本支出</w:t>
      </w:r>
      <w:r>
        <w:rPr>
          <w:rFonts w:ascii="仿宋_GB2312" w:eastAsia="仿宋_GB2312"/>
          <w:sz w:val="28"/>
          <w:szCs w:val="28"/>
        </w:rPr>
        <w:t>6636.08</w:t>
      </w:r>
      <w:r>
        <w:rPr>
          <w:rFonts w:hint="eastAsia" w:ascii="仿宋_GB2312" w:eastAsia="仿宋_GB2312"/>
          <w:sz w:val="28"/>
          <w:szCs w:val="28"/>
        </w:rPr>
        <w:t>万元，占支出合计的</w:t>
      </w:r>
      <w:r>
        <w:rPr>
          <w:rFonts w:hint="eastAsia" w:ascii="仿宋_GB2312" w:eastAsia="仿宋_GB2312"/>
          <w:sz w:val="28"/>
          <w:szCs w:val="28"/>
          <w:lang w:eastAsia="zh-CN"/>
        </w:rPr>
        <w:t>28.61</w:t>
      </w:r>
      <w:r>
        <w:rPr>
          <w:rFonts w:hint="eastAsia" w:ascii="仿宋_GB2312" w:eastAsia="仿宋_GB2312"/>
          <w:sz w:val="28"/>
          <w:szCs w:val="28"/>
        </w:rPr>
        <w:t>%；项目支出</w:t>
      </w:r>
      <w:r>
        <w:rPr>
          <w:rFonts w:ascii="仿宋_GB2312" w:eastAsia="仿宋_GB2312"/>
          <w:sz w:val="28"/>
          <w:szCs w:val="28"/>
        </w:rPr>
        <w:t>16560.91</w:t>
      </w:r>
      <w:r>
        <w:rPr>
          <w:rFonts w:hint="eastAsia" w:ascii="仿宋_GB2312" w:eastAsia="仿宋_GB2312"/>
          <w:sz w:val="28"/>
          <w:szCs w:val="28"/>
        </w:rPr>
        <w:t>万元，占支出合计的</w:t>
      </w:r>
      <w:r>
        <w:rPr>
          <w:rFonts w:hint="eastAsia" w:ascii="仿宋_GB2312" w:eastAsia="仿宋_GB2312"/>
          <w:sz w:val="28"/>
          <w:szCs w:val="28"/>
          <w:lang w:eastAsia="zh-CN"/>
        </w:rPr>
        <w:t>71.39</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23197</w:t>
      </w:r>
      <w:r>
        <w:rPr>
          <w:rFonts w:hint="eastAsia" w:ascii="仿宋_GB2312" w:eastAsia="仿宋_GB2312"/>
          <w:sz w:val="28"/>
          <w:szCs w:val="28"/>
        </w:rPr>
        <w:t>万元，比上年</w:t>
      </w:r>
      <w:r>
        <w:rPr>
          <w:rFonts w:hint="eastAsia" w:ascii="仿宋_GB2312" w:eastAsia="仿宋_GB2312"/>
          <w:sz w:val="28"/>
          <w:szCs w:val="28"/>
          <w:lang w:val="en-US" w:eastAsia="zh-CN"/>
        </w:rPr>
        <w:t>23409万元</w:t>
      </w:r>
      <w:r>
        <w:rPr>
          <w:rFonts w:hint="eastAsia" w:ascii="仿宋_GB2312" w:eastAsia="仿宋_GB2312"/>
          <w:sz w:val="28"/>
          <w:szCs w:val="28"/>
        </w:rPr>
        <w:t>减少</w:t>
      </w:r>
      <w:r>
        <w:rPr>
          <w:rFonts w:hint="eastAsia" w:ascii="仿宋_GB2312" w:eastAsia="仿宋_GB2312"/>
          <w:sz w:val="28"/>
          <w:szCs w:val="28"/>
          <w:lang w:val="en-US" w:eastAsia="zh-CN"/>
        </w:rPr>
        <w:t>210</w:t>
      </w:r>
      <w:r>
        <w:rPr>
          <w:rFonts w:hint="eastAsia" w:ascii="仿宋_GB2312" w:eastAsia="仿宋_GB2312"/>
          <w:sz w:val="28"/>
          <w:szCs w:val="28"/>
        </w:rPr>
        <w:t>万元，下降</w:t>
      </w:r>
      <w:r>
        <w:rPr>
          <w:rFonts w:hint="eastAsia" w:ascii="仿宋_GB2312" w:eastAsia="仿宋_GB2312"/>
          <w:sz w:val="28"/>
          <w:szCs w:val="28"/>
          <w:lang w:val="en-US" w:eastAsia="zh-CN"/>
        </w:rPr>
        <w:t>0.90</w:t>
      </w:r>
      <w:r>
        <w:rPr>
          <w:rFonts w:hint="eastAsia" w:ascii="仿宋_GB2312" w:eastAsia="仿宋_GB2312"/>
          <w:sz w:val="28"/>
          <w:szCs w:val="28"/>
        </w:rPr>
        <w:t>%。主要原因：</w:t>
      </w:r>
      <w:r>
        <w:rPr>
          <w:rFonts w:hint="eastAsia" w:ascii="仿宋_GB2312" w:hAnsi="仿宋" w:eastAsia="仿宋_GB2312"/>
          <w:sz w:val="28"/>
          <w:szCs w:val="28"/>
          <w:highlight w:val="none"/>
          <w:u w:val="none"/>
        </w:rPr>
        <w:t>（1）厉行节约，公用经费等进一步压缩；（2）工作安排变动，部分当年未开展或未完成工作的资金调整至明年支出。</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23155.99</w:t>
      </w:r>
      <w:r>
        <w:rPr>
          <w:rFonts w:hint="eastAsia" w:ascii="仿宋_GB2312" w:eastAsia="仿宋_GB2312"/>
          <w:sz w:val="28"/>
          <w:szCs w:val="28"/>
        </w:rPr>
        <w:t>万元，主要用于以下方面（按大类）：一般公共服务支出</w:t>
      </w:r>
      <w:r>
        <w:rPr>
          <w:rFonts w:hint="eastAsia" w:ascii="仿宋_GB2312" w:hAnsi="仿宋" w:eastAsia="仿宋_GB2312"/>
          <w:sz w:val="28"/>
          <w:szCs w:val="28"/>
          <w:highlight w:val="none"/>
          <w:u w:val="none"/>
        </w:rPr>
        <w:t>8363.55</w:t>
      </w:r>
      <w:r>
        <w:rPr>
          <w:rFonts w:hint="eastAsia" w:ascii="仿宋_GB2312" w:eastAsia="仿宋_GB2312"/>
          <w:sz w:val="28"/>
          <w:szCs w:val="28"/>
        </w:rPr>
        <w:t>万元，</w:t>
      </w:r>
      <w:bookmarkStart w:id="0" w:name="OLE_LINK2"/>
      <w:r>
        <w:rPr>
          <w:rFonts w:hint="eastAsia" w:ascii="仿宋_GB2312" w:eastAsia="仿宋_GB2312"/>
          <w:sz w:val="28"/>
          <w:szCs w:val="28"/>
        </w:rPr>
        <w:t>占本年财政拨款支出</w:t>
      </w:r>
      <w:r>
        <w:rPr>
          <w:rFonts w:hint="eastAsia" w:ascii="仿宋_GB2312" w:eastAsia="仿宋_GB2312"/>
          <w:sz w:val="28"/>
          <w:szCs w:val="28"/>
          <w:lang w:val="en-US" w:eastAsia="zh-CN"/>
        </w:rPr>
        <w:t>36.06</w:t>
      </w:r>
      <w:r>
        <w:rPr>
          <w:rFonts w:hint="eastAsia" w:ascii="仿宋_GB2312" w:eastAsia="仿宋_GB2312"/>
          <w:sz w:val="28"/>
          <w:szCs w:val="28"/>
        </w:rPr>
        <w:t>%；</w:t>
      </w:r>
      <w:bookmarkEnd w:id="0"/>
      <w:r>
        <w:rPr>
          <w:rFonts w:hint="eastAsia" w:ascii="仿宋_GB2312" w:eastAsia="仿宋_GB2312"/>
          <w:sz w:val="28"/>
          <w:szCs w:val="28"/>
          <w:lang w:eastAsia="zh-CN"/>
        </w:rPr>
        <w:t>公共安全支出</w:t>
      </w:r>
      <w:r>
        <w:rPr>
          <w:rFonts w:hint="eastAsia" w:ascii="仿宋_GB2312" w:eastAsia="仿宋_GB2312"/>
          <w:sz w:val="28"/>
          <w:szCs w:val="28"/>
          <w:lang w:val="en-US" w:eastAsia="zh-CN"/>
        </w:rPr>
        <w:t>176.46万元，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0.76</w:t>
      </w:r>
      <w:r>
        <w:rPr>
          <w:rFonts w:hint="eastAsia" w:ascii="仿宋_GB2312" w:eastAsia="仿宋_GB2312"/>
          <w:sz w:val="28"/>
          <w:szCs w:val="28"/>
        </w:rPr>
        <w:t>%；</w:t>
      </w:r>
      <w:r>
        <w:rPr>
          <w:rFonts w:hint="eastAsia" w:ascii="仿宋_GB2312" w:eastAsia="仿宋_GB2312"/>
          <w:sz w:val="28"/>
          <w:szCs w:val="28"/>
          <w:lang w:eastAsia="zh-CN"/>
        </w:rPr>
        <w:t>文化旅游体育与传媒支出</w:t>
      </w:r>
      <w:r>
        <w:rPr>
          <w:rFonts w:hint="eastAsia" w:ascii="仿宋_GB2312" w:eastAsia="仿宋_GB2312"/>
          <w:sz w:val="28"/>
          <w:szCs w:val="28"/>
          <w:lang w:val="en-US" w:eastAsia="zh-CN"/>
        </w:rPr>
        <w:t>256.84万元，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1.11</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7555.16万元，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32.58</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630.20万元，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2.72</w:t>
      </w:r>
      <w:r>
        <w:rPr>
          <w:rFonts w:hint="eastAsia" w:ascii="仿宋_GB2312" w:eastAsia="仿宋_GB2312"/>
          <w:sz w:val="28"/>
          <w:szCs w:val="28"/>
        </w:rPr>
        <w:t>%；</w:t>
      </w:r>
      <w:r>
        <w:rPr>
          <w:rFonts w:hint="eastAsia" w:ascii="仿宋_GB2312" w:eastAsia="仿宋_GB2312"/>
          <w:sz w:val="28"/>
          <w:szCs w:val="28"/>
          <w:lang w:eastAsia="zh-CN"/>
        </w:rPr>
        <w:t>节能环保支出</w:t>
      </w:r>
      <w:r>
        <w:rPr>
          <w:rFonts w:hint="eastAsia" w:ascii="仿宋_GB2312" w:eastAsia="仿宋_GB2312"/>
          <w:sz w:val="28"/>
          <w:szCs w:val="28"/>
          <w:lang w:val="en-US" w:eastAsia="zh-CN"/>
        </w:rPr>
        <w:t>526.95万元，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2.28</w:t>
      </w:r>
      <w:r>
        <w:rPr>
          <w:rFonts w:hint="eastAsia" w:ascii="仿宋_GB2312" w:eastAsia="仿宋_GB2312"/>
          <w:sz w:val="28"/>
          <w:szCs w:val="28"/>
        </w:rPr>
        <w:t>%</w:t>
      </w:r>
      <w:r>
        <w:rPr>
          <w:rFonts w:hint="eastAsia" w:ascii="仿宋_GB2312" w:eastAsia="仿宋_GB2312"/>
          <w:sz w:val="28"/>
          <w:szCs w:val="28"/>
          <w:lang w:eastAsia="zh-CN"/>
        </w:rPr>
        <w:t>；城乡社区支出</w:t>
      </w:r>
      <w:r>
        <w:rPr>
          <w:rFonts w:hint="eastAsia" w:ascii="仿宋_GB2312" w:eastAsia="仿宋_GB2312"/>
          <w:sz w:val="28"/>
          <w:szCs w:val="28"/>
          <w:lang w:val="en-US" w:eastAsia="zh-CN"/>
        </w:rPr>
        <w:t>4799.38万元，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20.69</w:t>
      </w:r>
      <w:r>
        <w:rPr>
          <w:rFonts w:hint="eastAsia" w:ascii="仿宋_GB2312" w:eastAsia="仿宋_GB2312"/>
          <w:sz w:val="28"/>
          <w:szCs w:val="28"/>
        </w:rPr>
        <w:t>%；</w:t>
      </w:r>
      <w:r>
        <w:rPr>
          <w:rFonts w:hint="eastAsia" w:ascii="仿宋_GB2312" w:eastAsia="仿宋_GB2312"/>
          <w:sz w:val="28"/>
          <w:szCs w:val="28"/>
          <w:lang w:eastAsia="zh-CN"/>
        </w:rPr>
        <w:t>住房保障支出</w:t>
      </w:r>
      <w:r>
        <w:rPr>
          <w:rFonts w:hint="eastAsia" w:ascii="仿宋_GB2312" w:eastAsia="仿宋_GB2312"/>
          <w:sz w:val="28"/>
          <w:szCs w:val="28"/>
          <w:lang w:val="en-US" w:eastAsia="zh-CN"/>
        </w:rPr>
        <w:t>847.46万元，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3.70</w:t>
      </w:r>
      <w:r>
        <w:rPr>
          <w:rFonts w:hint="eastAsia" w:ascii="仿宋_GB2312" w:eastAsia="仿宋_GB2312"/>
          <w:sz w:val="28"/>
          <w:szCs w:val="28"/>
        </w:rPr>
        <w:t>%</w:t>
      </w:r>
      <w:r>
        <w:rPr>
          <w:rFonts w:hint="eastAsia" w:ascii="仿宋_GB2312" w:eastAsia="仿宋_GB2312"/>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8940.03万元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8363.55</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93.55</w:t>
      </w:r>
      <w:r>
        <w:rPr>
          <w:rFonts w:hint="eastAsia" w:ascii="仿宋_GB2312" w:eastAsia="仿宋_GB2312"/>
          <w:sz w:val="28"/>
          <w:szCs w:val="28"/>
        </w:rPr>
        <w:t>%。</w:t>
      </w:r>
    </w:p>
    <w:p>
      <w:pPr>
        <w:spacing w:line="580" w:lineRule="exact"/>
        <w:ind w:firstLine="560" w:firstLineChars="200"/>
        <w:rPr>
          <w:rFonts w:hint="default"/>
          <w:lang w:val="en-US" w:eastAsia="zh-CN"/>
        </w:rPr>
      </w:pPr>
      <w:r>
        <w:rPr>
          <w:rFonts w:hint="eastAsia" w:ascii="仿宋_GB2312" w:eastAsia="仿宋_GB2312"/>
          <w:sz w:val="28"/>
          <w:szCs w:val="28"/>
          <w:lang w:eastAsia="zh-CN"/>
        </w:rPr>
        <w:t>主要原因：1.因工程开展过程中的客观需求变化，地区工程经费调减；2.为提高预算执行率，与出租方沟通将10、11月应支付房租调整至次年2月支付，涉及黑窑厂、壹瓶、福州馆，共调减206万元。</w:t>
      </w:r>
    </w:p>
    <w:p>
      <w:pPr>
        <w:numPr>
          <w:ilvl w:val="0"/>
          <w:numId w:val="1"/>
        </w:num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公共安全支出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w:t>
      </w:r>
      <w:r>
        <w:rPr>
          <w:rFonts w:hint="eastAsia" w:ascii="仿宋_GB2312" w:eastAsia="仿宋_GB2312"/>
          <w:sz w:val="28"/>
          <w:szCs w:val="28"/>
          <w:lang w:eastAsia="zh-CN"/>
        </w:rPr>
        <w:t>算</w:t>
      </w:r>
      <w:r>
        <w:rPr>
          <w:rFonts w:hint="eastAsia" w:ascii="仿宋_GB2312" w:eastAsia="仿宋_GB2312"/>
          <w:sz w:val="28"/>
          <w:szCs w:val="28"/>
          <w:lang w:val="en-US" w:eastAsia="zh-CN"/>
        </w:rPr>
        <w:t>162.89万元，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176.46万元</w:t>
      </w:r>
      <w:r>
        <w:rPr>
          <w:rFonts w:hint="eastAsia" w:ascii="仿宋_GB2312" w:eastAsia="仿宋_GB2312"/>
          <w:sz w:val="28"/>
          <w:szCs w:val="28"/>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108.33</w:t>
      </w:r>
      <w:r>
        <w:rPr>
          <w:rFonts w:hint="eastAsia" w:ascii="仿宋_GB2312" w:eastAsia="仿宋_GB2312"/>
          <w:sz w:val="28"/>
          <w:szCs w:val="28"/>
        </w:rPr>
        <w:t>%。</w:t>
      </w:r>
      <w:r>
        <w:rPr>
          <w:rFonts w:hint="eastAsia" w:ascii="仿宋_GB2312" w:eastAsia="仿宋_GB2312"/>
          <w:sz w:val="28"/>
          <w:szCs w:val="28"/>
          <w:lang w:eastAsia="zh-CN"/>
        </w:rPr>
        <w:t>主要原因是司法工作相关经费支出增加。</w:t>
      </w:r>
    </w:p>
    <w:p>
      <w:pPr>
        <w:numPr>
          <w:ilvl w:val="0"/>
          <w:numId w:val="0"/>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文化旅游体育与传媒支出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318.54万元，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256.84万元</w:t>
      </w:r>
      <w:r>
        <w:rPr>
          <w:rFonts w:hint="eastAsia" w:ascii="仿宋_GB2312" w:eastAsia="仿宋_GB2312"/>
          <w:sz w:val="28"/>
          <w:szCs w:val="28"/>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80.63</w:t>
      </w:r>
      <w:r>
        <w:rPr>
          <w:rFonts w:hint="eastAsia" w:ascii="仿宋_GB2312" w:eastAsia="仿宋_GB2312"/>
          <w:sz w:val="28"/>
          <w:szCs w:val="28"/>
        </w:rPr>
        <w:t>%。</w:t>
      </w:r>
      <w:r>
        <w:rPr>
          <w:rFonts w:hint="eastAsia" w:ascii="仿宋_GB2312" w:eastAsia="仿宋_GB2312"/>
          <w:sz w:val="28"/>
          <w:szCs w:val="28"/>
          <w:lang w:eastAsia="zh-CN"/>
        </w:rPr>
        <w:t>主要原因是街道图书馆相关经费支出减少较多。</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7941.77万元，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7555.16万元</w:t>
      </w:r>
      <w:r>
        <w:rPr>
          <w:rFonts w:hint="eastAsia" w:ascii="仿宋_GB2312" w:eastAsia="仿宋_GB2312"/>
          <w:sz w:val="28"/>
          <w:szCs w:val="28"/>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95.13</w:t>
      </w:r>
      <w:r>
        <w:rPr>
          <w:rFonts w:hint="eastAsia" w:ascii="仿宋_GB2312" w:eastAsia="仿宋_GB2312"/>
          <w:sz w:val="28"/>
          <w:szCs w:val="28"/>
        </w:rPr>
        <w:t>%。</w:t>
      </w:r>
      <w:r>
        <w:rPr>
          <w:rFonts w:hint="eastAsia" w:ascii="仿宋_GB2312" w:eastAsia="仿宋_GB2312"/>
          <w:sz w:val="28"/>
          <w:szCs w:val="28"/>
          <w:lang w:eastAsia="zh-CN"/>
        </w:rPr>
        <w:t>主要原因：社区工作者经费预算按157人满编估计，1-3月149人，3-9月148人，人均每月14477.21元，共计1129222.38无法支出；年终绩效全年发放人数132人，实际离职19人，不满全年18人，共计91943.38元未支出；缺编9人，3人个人原因放弃体检，共计14990.02元未支出；合计调减约124万元。城市最低生活保障金支出差异较大，主要因为居民最低生活保障金少于以往年份故年终中对预算进行了调减。</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250.54万元，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192.31万元</w:t>
      </w:r>
      <w:r>
        <w:rPr>
          <w:rFonts w:hint="eastAsia" w:ascii="仿宋_GB2312" w:eastAsia="仿宋_GB2312"/>
          <w:sz w:val="28"/>
          <w:szCs w:val="28"/>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76.76%</w:t>
      </w:r>
      <w:r>
        <w:rPr>
          <w:rFonts w:hint="eastAsia" w:ascii="仿宋_GB2312" w:eastAsia="仿宋_GB2312"/>
          <w:sz w:val="28"/>
          <w:szCs w:val="28"/>
        </w:rPr>
        <w:t>。</w:t>
      </w:r>
      <w:r>
        <w:rPr>
          <w:rFonts w:hint="eastAsia" w:ascii="仿宋_GB2312" w:eastAsia="仿宋_GB2312"/>
          <w:sz w:val="28"/>
          <w:szCs w:val="28"/>
          <w:lang w:eastAsia="zh-CN"/>
        </w:rPr>
        <w:t>主要原因是医疗救助经费支出水平比预计降低较多。</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eastAsia="仿宋_GB2312"/>
          <w:sz w:val="28"/>
          <w:szCs w:val="28"/>
          <w:lang w:val="en-US" w:eastAsia="zh-CN"/>
        </w:rPr>
        <w:t>6、</w:t>
      </w:r>
      <w:r>
        <w:rPr>
          <w:rFonts w:hint="eastAsia" w:ascii="仿宋_GB2312" w:eastAsia="仿宋_GB2312"/>
          <w:sz w:val="28"/>
          <w:szCs w:val="28"/>
        </w:rPr>
        <w:t>“</w:t>
      </w:r>
      <w:r>
        <w:rPr>
          <w:rFonts w:hint="eastAsia" w:ascii="仿宋_GB2312" w:eastAsia="仿宋_GB2312"/>
          <w:sz w:val="28"/>
          <w:szCs w:val="28"/>
          <w:lang w:eastAsia="zh-CN"/>
        </w:rPr>
        <w:t>节能环保支出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639.17万元，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526.94万元</w:t>
      </w:r>
      <w:r>
        <w:rPr>
          <w:rFonts w:hint="eastAsia" w:ascii="仿宋_GB2312" w:eastAsia="仿宋_GB2312"/>
          <w:sz w:val="28"/>
          <w:szCs w:val="28"/>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82.44%</w:t>
      </w:r>
      <w:r>
        <w:rPr>
          <w:rFonts w:hint="eastAsia" w:ascii="仿宋_GB2312" w:eastAsia="仿宋_GB2312"/>
          <w:sz w:val="28"/>
          <w:szCs w:val="28"/>
        </w:rPr>
        <w:t>。</w:t>
      </w:r>
      <w:r>
        <w:rPr>
          <w:rFonts w:hint="eastAsia" w:ascii="仿宋_GB2312" w:eastAsia="仿宋_GB2312"/>
          <w:sz w:val="28"/>
          <w:szCs w:val="28"/>
          <w:lang w:eastAsia="zh-CN"/>
        </w:rPr>
        <w:t>主要原因</w:t>
      </w:r>
      <w:r>
        <w:rPr>
          <w:rFonts w:hint="eastAsia" w:ascii="仿宋_GB2312" w:eastAsia="仿宋_GB2312"/>
          <w:sz w:val="28"/>
          <w:szCs w:val="28"/>
        </w:rPr>
        <w:t>：由于绩效考核，街道扣减第三方服务费，故实际支出少于预算。</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eastAsia="仿宋_GB2312"/>
          <w:sz w:val="28"/>
          <w:szCs w:val="28"/>
          <w:lang w:val="en-US" w:eastAsia="zh-CN"/>
        </w:rPr>
        <w:t>7、</w:t>
      </w:r>
      <w:r>
        <w:rPr>
          <w:rFonts w:hint="eastAsia" w:ascii="仿宋_GB2312" w:eastAsia="仿宋_GB2312"/>
          <w:sz w:val="28"/>
          <w:szCs w:val="28"/>
        </w:rPr>
        <w:t>“</w:t>
      </w:r>
      <w:r>
        <w:rPr>
          <w:rFonts w:hint="eastAsia" w:ascii="仿宋_GB2312" w:eastAsia="仿宋_GB2312"/>
          <w:sz w:val="28"/>
          <w:szCs w:val="28"/>
          <w:lang w:eastAsia="zh-CN"/>
        </w:rPr>
        <w:t>城乡社区支出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5026.27万元，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4799.38万元</w:t>
      </w:r>
      <w:r>
        <w:rPr>
          <w:rFonts w:hint="eastAsia" w:ascii="仿宋_GB2312" w:eastAsia="仿宋_GB2312"/>
          <w:sz w:val="28"/>
          <w:szCs w:val="28"/>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95.49%</w:t>
      </w:r>
      <w:r>
        <w:rPr>
          <w:rFonts w:hint="eastAsia" w:ascii="仿宋_GB2312" w:eastAsia="仿宋_GB2312"/>
          <w:sz w:val="28"/>
          <w:szCs w:val="28"/>
        </w:rPr>
        <w:t>。</w:t>
      </w:r>
      <w:r>
        <w:rPr>
          <w:rFonts w:hint="eastAsia" w:ascii="仿宋_GB2312" w:eastAsia="仿宋_GB2312"/>
          <w:sz w:val="28"/>
          <w:szCs w:val="28"/>
          <w:lang w:eastAsia="zh-CN"/>
        </w:rPr>
        <w:t>主要原因</w:t>
      </w:r>
      <w:r>
        <w:rPr>
          <w:rFonts w:hint="eastAsia" w:ascii="仿宋_GB2312" w:eastAsia="仿宋_GB2312"/>
          <w:sz w:val="28"/>
          <w:szCs w:val="28"/>
        </w:rPr>
        <w:t>：1.重大安保保障需求减少以及群防群治工作经费需求减少；2.楼宇对讲系统需求减少，损坏摄像头较少，维保费用调减</w:t>
      </w:r>
      <w:r>
        <w:rPr>
          <w:rFonts w:hint="eastAsia" w:ascii="仿宋_GB2312" w:eastAsia="仿宋_GB2312"/>
          <w:sz w:val="28"/>
          <w:szCs w:val="28"/>
          <w:lang w:eastAsia="zh-CN"/>
        </w:rPr>
        <w:t>；</w:t>
      </w:r>
      <w:r>
        <w:rPr>
          <w:rFonts w:hint="eastAsia" w:ascii="仿宋_GB2312" w:eastAsia="仿宋_GB2312"/>
          <w:sz w:val="28"/>
          <w:szCs w:val="28"/>
          <w:lang w:val="en-US" w:eastAsia="zh-CN"/>
        </w:rPr>
        <w:t>3.“幸福街巷 美好陶然”工程年中追加资金320万元；4.公益性组织人员经费等下半年中央直达资金拨付金额超出原预计金额故进行调减</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default" w:eastAsia="仿宋_GB2312"/>
          <w:lang w:val="en-US" w:eastAsia="zh-CN"/>
        </w:rPr>
      </w:pPr>
      <w:r>
        <w:rPr>
          <w:rFonts w:hint="eastAsia" w:eastAsia="仿宋_GB2312"/>
          <w:sz w:val="28"/>
          <w:szCs w:val="28"/>
          <w:lang w:val="en-US" w:eastAsia="zh-CN"/>
        </w:rPr>
        <w:t>8.</w:t>
      </w:r>
      <w:r>
        <w:rPr>
          <w:rFonts w:hint="eastAsia" w:ascii="仿宋_GB2312" w:eastAsia="仿宋_GB2312"/>
          <w:sz w:val="28"/>
          <w:szCs w:val="28"/>
        </w:rPr>
        <w:t>“</w:t>
      </w:r>
      <w:r>
        <w:rPr>
          <w:rFonts w:hint="eastAsia" w:ascii="仿宋_GB2312" w:eastAsia="仿宋_GB2312"/>
          <w:sz w:val="28"/>
          <w:szCs w:val="28"/>
          <w:lang w:eastAsia="zh-CN"/>
        </w:rPr>
        <w:t>住房保障支出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511.74万元，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406.45万元</w:t>
      </w:r>
      <w:r>
        <w:rPr>
          <w:rFonts w:hint="eastAsia" w:ascii="仿宋_GB2312" w:eastAsia="仿宋_GB2312"/>
          <w:sz w:val="28"/>
          <w:szCs w:val="28"/>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79.43%</w:t>
      </w:r>
      <w:r>
        <w:rPr>
          <w:rFonts w:hint="eastAsia" w:ascii="仿宋_GB2312" w:eastAsia="仿宋_GB2312"/>
          <w:sz w:val="28"/>
          <w:szCs w:val="28"/>
        </w:rPr>
        <w:t>。</w:t>
      </w:r>
      <w:r>
        <w:rPr>
          <w:rFonts w:hint="eastAsia" w:ascii="仿宋_GB2312" w:eastAsia="仿宋_GB2312"/>
          <w:sz w:val="28"/>
          <w:szCs w:val="28"/>
          <w:lang w:eastAsia="zh-CN"/>
        </w:rPr>
        <w:t>主要原因是今年购房补贴减少较多。</w:t>
      </w:r>
    </w:p>
    <w:p>
      <w:pPr>
        <w:spacing w:line="580" w:lineRule="exact"/>
        <w:ind w:firstLine="560" w:firstLineChars="200"/>
        <w:rPr>
          <w:rFonts w:hint="eastAsia" w:ascii="仿宋_GB2312" w:eastAsia="仿宋_GB2312"/>
          <w:sz w:val="28"/>
          <w:szCs w:val="28"/>
          <w:lang w:eastAsia="zh-CN"/>
        </w:rPr>
      </w:pPr>
    </w:p>
    <w:p>
      <w:pPr>
        <w:pStyle w:val="2"/>
        <w:rPr>
          <w:rFonts w:hint="default"/>
          <w:lang w:val="en-US" w:eastAsia="zh-CN"/>
        </w:rPr>
      </w:pP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年度政府性基金预算财政拨款支出</w:t>
      </w:r>
      <w:r>
        <w:rPr>
          <w:rFonts w:ascii="仿宋_GB2312" w:eastAsia="仿宋_GB2312"/>
          <w:sz w:val="28"/>
          <w:szCs w:val="28"/>
        </w:rPr>
        <w:t>1.77</w:t>
      </w:r>
      <w:r>
        <w:rPr>
          <w:rFonts w:hint="eastAsia" w:ascii="仿宋_GB2312" w:eastAsia="仿宋_GB2312"/>
          <w:sz w:val="28"/>
          <w:szCs w:val="28"/>
        </w:rPr>
        <w:t>万元，主要用于以下方面（按大类）：彩票公益金安排的支出</w:t>
      </w:r>
      <w:r>
        <w:rPr>
          <w:rFonts w:hint="eastAsia" w:ascii="仿宋_GB2312" w:eastAsia="仿宋_GB2312"/>
          <w:sz w:val="28"/>
          <w:szCs w:val="28"/>
          <w:lang w:val="en-US" w:eastAsia="zh-CN"/>
        </w:rPr>
        <w:t>1.77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0.0076</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1、“其他支出”（类，下同）</w:t>
      </w:r>
      <w:r>
        <w:rPr>
          <w:rFonts w:hint="eastAsia" w:ascii="仿宋_GB2312" w:eastAsia="仿宋_GB2312"/>
          <w:sz w:val="28"/>
          <w:szCs w:val="28"/>
          <w:lang w:eastAsia="zh-CN"/>
        </w:rPr>
        <w:t>2024</w:t>
      </w:r>
      <w:r>
        <w:rPr>
          <w:rFonts w:hint="eastAsia" w:ascii="仿宋_GB2312" w:eastAsia="仿宋_GB2312"/>
          <w:sz w:val="28"/>
          <w:szCs w:val="28"/>
        </w:rPr>
        <w:t>年度年初预算</w:t>
      </w:r>
      <w:r>
        <w:rPr>
          <w:rFonts w:hint="eastAsia" w:ascii="仿宋_GB2312" w:eastAsia="仿宋_GB2312"/>
          <w:sz w:val="28"/>
          <w:szCs w:val="28"/>
          <w:lang w:val="en-US" w:eastAsia="zh-CN"/>
        </w:rPr>
        <w:t>2.53万元</w:t>
      </w:r>
      <w:r>
        <w:rPr>
          <w:rFonts w:hint="eastAsia" w:ascii="仿宋_GB2312" w:eastAsia="仿宋_GB2312"/>
          <w:sz w:val="28"/>
          <w:szCs w:val="28"/>
        </w:rPr>
        <w:t>，</w:t>
      </w:r>
      <w:r>
        <w:rPr>
          <w:rFonts w:hint="eastAsia" w:ascii="仿宋_GB2312" w:eastAsia="仿宋_GB2312"/>
          <w:sz w:val="28"/>
          <w:szCs w:val="28"/>
          <w:lang w:eastAsia="zh-CN"/>
        </w:rPr>
        <w:t>2024</w:t>
      </w:r>
      <w:r>
        <w:rPr>
          <w:rFonts w:hint="eastAsia" w:ascii="仿宋_GB2312" w:eastAsia="仿宋_GB2312"/>
          <w:sz w:val="28"/>
          <w:szCs w:val="28"/>
        </w:rPr>
        <w:t>年度决算</w:t>
      </w:r>
      <w:r>
        <w:rPr>
          <w:rFonts w:hint="eastAsia" w:ascii="仿宋_GB2312" w:eastAsia="仿宋_GB2312"/>
          <w:sz w:val="28"/>
          <w:szCs w:val="28"/>
          <w:lang w:val="en-US" w:eastAsia="zh-CN"/>
        </w:rPr>
        <w:t>1.77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70.10</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rPr>
        <w:t>“彩票公益金安排的支出”（款，下同）</w:t>
      </w:r>
      <w:r>
        <w:rPr>
          <w:rFonts w:hint="eastAsia" w:ascii="仿宋_GB2312" w:eastAsia="仿宋_GB2312"/>
          <w:sz w:val="28"/>
          <w:szCs w:val="28"/>
          <w:lang w:eastAsia="zh-CN"/>
        </w:rPr>
        <w:t>2024</w:t>
      </w:r>
      <w:r>
        <w:rPr>
          <w:rFonts w:hint="eastAsia" w:ascii="仿宋_GB2312" w:eastAsia="仿宋_GB2312"/>
          <w:sz w:val="28"/>
          <w:szCs w:val="28"/>
        </w:rPr>
        <w:t>年度年初预算</w:t>
      </w:r>
      <w:r>
        <w:rPr>
          <w:rFonts w:hint="eastAsia" w:ascii="仿宋_GB2312" w:eastAsia="仿宋_GB2312"/>
          <w:sz w:val="28"/>
          <w:szCs w:val="28"/>
          <w:lang w:val="en-US" w:eastAsia="zh-CN"/>
        </w:rPr>
        <w:t>2.53万元</w:t>
      </w:r>
      <w:r>
        <w:rPr>
          <w:rFonts w:hint="eastAsia" w:ascii="仿宋_GB2312" w:eastAsia="仿宋_GB2312"/>
          <w:sz w:val="28"/>
          <w:szCs w:val="28"/>
        </w:rPr>
        <w:t>，</w:t>
      </w:r>
      <w:r>
        <w:rPr>
          <w:rFonts w:hint="eastAsia" w:ascii="仿宋_GB2312" w:eastAsia="仿宋_GB2312"/>
          <w:sz w:val="28"/>
          <w:szCs w:val="28"/>
          <w:lang w:eastAsia="zh-CN"/>
        </w:rPr>
        <w:t>2024</w:t>
      </w:r>
      <w:r>
        <w:rPr>
          <w:rFonts w:hint="eastAsia" w:ascii="仿宋_GB2312" w:eastAsia="仿宋_GB2312"/>
          <w:sz w:val="28"/>
          <w:szCs w:val="28"/>
        </w:rPr>
        <w:t>年度决算</w:t>
      </w:r>
      <w:r>
        <w:rPr>
          <w:rFonts w:hint="eastAsia" w:ascii="仿宋_GB2312" w:eastAsia="仿宋_GB2312"/>
          <w:sz w:val="28"/>
          <w:szCs w:val="28"/>
          <w:lang w:val="en-US" w:eastAsia="zh-CN"/>
        </w:rPr>
        <w:t>1.77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70.10</w:t>
      </w:r>
      <w:r>
        <w:rPr>
          <w:rFonts w:hint="eastAsia" w:ascii="仿宋_GB2312" w:eastAsia="仿宋_GB2312"/>
          <w:sz w:val="28"/>
          <w:szCs w:val="28"/>
        </w:rPr>
        <w:t>%。</w:t>
      </w:r>
      <w:r>
        <w:rPr>
          <w:rFonts w:hint="eastAsia" w:ascii="仿宋_GB2312" w:eastAsia="仿宋_GB2312"/>
          <w:sz w:val="28"/>
          <w:szCs w:val="28"/>
          <w:highlight w:val="none"/>
        </w:rPr>
        <w:t>主要原因：</w:t>
      </w:r>
      <w:r>
        <w:rPr>
          <w:rFonts w:hint="eastAsia" w:ascii="仿宋_GB2312" w:eastAsia="仿宋_GB2312"/>
          <w:sz w:val="28"/>
          <w:szCs w:val="28"/>
          <w:highlight w:val="none"/>
          <w:lang w:val="en-US" w:eastAsia="zh-CN"/>
        </w:rPr>
        <w:t>2024年实际发生高等入学救助1.77万元，年初预算一般根据以前年度实际发生来制定的。</w:t>
      </w:r>
    </w:p>
    <w:p>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计39.24</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计39.24</w:t>
      </w:r>
      <w:r>
        <w:rPr>
          <w:rFonts w:hint="eastAsia" w:ascii="仿宋_GB2312" w:eastAsia="仿宋_GB2312"/>
          <w:sz w:val="28"/>
          <w:szCs w:val="28"/>
        </w:rPr>
        <w:t>万元。</w:t>
      </w:r>
    </w:p>
    <w:p>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6636.08</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both"/>
        <w:rPr>
          <w:rFonts w:hint="eastAsia" w:ascii="宋体" w:hAnsi="宋体"/>
          <w:b/>
          <w:spacing w:val="40"/>
          <w:sz w:val="32"/>
          <w:szCs w:val="32"/>
        </w:rPr>
      </w:pPr>
      <w:r>
        <w:rPr>
          <w:rFonts w:ascii="仿宋_GB2312" w:eastAsia="仿宋_GB2312"/>
          <w:b/>
          <w:sz w:val="32"/>
          <w:szCs w:val="32"/>
        </w:rPr>
        <w:tab/>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0.73</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5.33</w:t>
      </w:r>
      <w:r>
        <w:rPr>
          <w:rFonts w:hint="eastAsia" w:ascii="仿宋_GB2312" w:eastAsia="仿宋_GB2312"/>
          <w:sz w:val="28"/>
          <w:szCs w:val="28"/>
        </w:rPr>
        <w:t>万元增加（减少）</w:t>
      </w:r>
      <w:r>
        <w:rPr>
          <w:rFonts w:ascii="仿宋_GB2312" w:eastAsia="仿宋_GB2312"/>
          <w:sz w:val="28"/>
          <w:szCs w:val="28"/>
        </w:rPr>
        <w:t>-4.6</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w:t>
      </w:r>
      <w:r>
        <w:rPr>
          <w:rFonts w:hint="eastAsia" w:ascii="仿宋_GB2312" w:eastAsia="仿宋_GB2312"/>
          <w:sz w:val="28"/>
          <w:szCs w:val="28"/>
          <w:lang w:eastAsia="zh-CN"/>
        </w:rPr>
        <w:t>本单位</w:t>
      </w:r>
      <w:r>
        <w:rPr>
          <w:rFonts w:hint="eastAsia" w:ascii="仿宋_GB2312" w:eastAsia="仿宋_GB2312"/>
          <w:sz w:val="28"/>
          <w:szCs w:val="28"/>
          <w:lang w:val="en-US" w:eastAsia="zh-CN"/>
        </w:rPr>
        <w:t>2024年没有出国（境）费用</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0</w:t>
      </w:r>
      <w:r>
        <w:rPr>
          <w:rFonts w:hint="eastAsia" w:ascii="仿宋_GB2312" w:eastAsia="仿宋_GB2312"/>
          <w:sz w:val="28"/>
          <w:szCs w:val="28"/>
        </w:rPr>
        <w:t>个、</w:t>
      </w:r>
      <w:r>
        <w:rPr>
          <w:rFonts w:hint="eastAsia" w:ascii="仿宋_GB2312" w:eastAsia="仿宋_GB2312"/>
          <w:sz w:val="28"/>
          <w:szCs w:val="28"/>
          <w:lang w:eastAsia="zh-CN"/>
        </w:rPr>
        <w:t>0</w:t>
      </w:r>
      <w:r>
        <w:rPr>
          <w:rFonts w:hint="eastAsia" w:ascii="仿宋_GB2312" w:eastAsia="仿宋_GB2312"/>
          <w:sz w:val="28"/>
          <w:szCs w:val="28"/>
        </w:rPr>
        <w:t>人次。</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0.17</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2.88</w:t>
      </w:r>
      <w:r>
        <w:rPr>
          <w:rFonts w:hint="eastAsia" w:ascii="仿宋_GB2312" w:eastAsia="仿宋_GB2312"/>
          <w:sz w:val="28"/>
          <w:szCs w:val="28"/>
        </w:rPr>
        <w:t>万元增加（减少）</w:t>
      </w:r>
      <w:r>
        <w:rPr>
          <w:rFonts w:ascii="仿宋_GB2312" w:eastAsia="仿宋_GB2312"/>
          <w:sz w:val="28"/>
          <w:szCs w:val="28"/>
        </w:rPr>
        <w:t>-2.71</w:t>
      </w:r>
      <w:r>
        <w:rPr>
          <w:rFonts w:hint="eastAsia" w:ascii="仿宋_GB2312" w:eastAsia="仿宋_GB2312"/>
          <w:sz w:val="28"/>
          <w:szCs w:val="28"/>
        </w:rPr>
        <w:t>万元。主要原因：202</w:t>
      </w:r>
      <w:r>
        <w:rPr>
          <w:rFonts w:hint="eastAsia" w:ascii="仿宋_GB2312" w:eastAsia="仿宋_GB2312"/>
          <w:sz w:val="28"/>
          <w:szCs w:val="28"/>
          <w:lang w:val="en-US" w:eastAsia="zh-CN"/>
        </w:rPr>
        <w:t>4</w:t>
      </w:r>
      <w:r>
        <w:rPr>
          <w:rFonts w:hint="eastAsia" w:ascii="仿宋_GB2312" w:eastAsia="仿宋_GB2312"/>
          <w:sz w:val="28"/>
          <w:szCs w:val="28"/>
        </w:rPr>
        <w:t>年度公务接待费主要用于异地养老合作接待</w:t>
      </w:r>
      <w:r>
        <w:rPr>
          <w:rFonts w:hint="eastAsia" w:ascii="仿宋_GB2312" w:eastAsia="仿宋_GB2312"/>
          <w:sz w:val="28"/>
          <w:szCs w:val="28"/>
          <w:lang w:eastAsia="zh-CN"/>
        </w:rPr>
        <w:t>和</w:t>
      </w:r>
      <w:r>
        <w:rPr>
          <w:rFonts w:hint="eastAsia" w:ascii="仿宋_GB2312" w:eastAsia="仿宋_GB2312"/>
          <w:sz w:val="28"/>
          <w:szCs w:val="28"/>
        </w:rPr>
        <w:t>鄂伦春旗考察团公务接待费。202</w:t>
      </w:r>
      <w:r>
        <w:rPr>
          <w:rFonts w:hint="eastAsia" w:ascii="仿宋_GB2312" w:eastAsia="仿宋_GB2312"/>
          <w:sz w:val="28"/>
          <w:szCs w:val="28"/>
          <w:lang w:val="en-US" w:eastAsia="zh-CN"/>
        </w:rPr>
        <w:t>4</w:t>
      </w:r>
      <w:r>
        <w:rPr>
          <w:rFonts w:hint="eastAsia" w:ascii="仿宋_GB2312" w:eastAsia="仿宋_GB2312"/>
          <w:sz w:val="28"/>
          <w:szCs w:val="28"/>
        </w:rPr>
        <w:t>年度公务接待费主要用于</w:t>
      </w:r>
      <w:r>
        <w:rPr>
          <w:rFonts w:hint="eastAsia" w:ascii="仿宋_GB2312" w:eastAsia="仿宋_GB2312"/>
          <w:sz w:val="28"/>
          <w:szCs w:val="28"/>
          <w:lang w:eastAsia="zh-CN"/>
        </w:rPr>
        <w:t>就餐</w:t>
      </w:r>
      <w:r>
        <w:rPr>
          <w:rFonts w:hint="eastAsia" w:ascii="仿宋_GB2312" w:eastAsia="仿宋_GB2312"/>
          <w:sz w:val="28"/>
          <w:szCs w:val="28"/>
        </w:rPr>
        <w:t>。公务接待</w:t>
      </w:r>
      <w:r>
        <w:rPr>
          <w:rFonts w:hint="eastAsia" w:ascii="仿宋_GB2312" w:eastAsia="仿宋_GB2312"/>
          <w:sz w:val="28"/>
          <w:szCs w:val="28"/>
          <w:lang w:eastAsia="zh-CN"/>
        </w:rPr>
        <w:t>2</w:t>
      </w:r>
      <w:r>
        <w:rPr>
          <w:rFonts w:hint="eastAsia" w:ascii="仿宋_GB2312" w:eastAsia="仿宋_GB2312"/>
          <w:sz w:val="28"/>
          <w:szCs w:val="28"/>
        </w:rPr>
        <w:t>批次，公务接待</w:t>
      </w:r>
      <w:r>
        <w:rPr>
          <w:rFonts w:hint="eastAsia" w:ascii="仿宋_GB2312" w:eastAsia="仿宋_GB2312"/>
          <w:sz w:val="28"/>
          <w:szCs w:val="28"/>
          <w:lang w:eastAsia="zh-CN"/>
        </w:rPr>
        <w:t>34</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0.56</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2.45</w:t>
      </w:r>
      <w:r>
        <w:rPr>
          <w:rFonts w:hint="eastAsia" w:ascii="仿宋_GB2312" w:eastAsia="仿宋_GB2312"/>
          <w:sz w:val="28"/>
          <w:szCs w:val="28"/>
        </w:rPr>
        <w:t>万元增加（减少）</w:t>
      </w:r>
      <w:r>
        <w:rPr>
          <w:rFonts w:ascii="仿宋_GB2312" w:eastAsia="仿宋_GB2312"/>
          <w:sz w:val="28"/>
          <w:szCs w:val="28"/>
        </w:rPr>
        <w:t>-1.89</w:t>
      </w:r>
      <w:r>
        <w:rPr>
          <w:rFonts w:hint="eastAsia" w:ascii="仿宋_GB2312" w:eastAsia="仿宋_GB2312"/>
          <w:sz w:val="28"/>
          <w:szCs w:val="28"/>
        </w:rPr>
        <w:t>万元。其中，公务用车购置费202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万元，主要原因：</w:t>
      </w:r>
      <w:r>
        <w:rPr>
          <w:rFonts w:hint="eastAsia" w:ascii="仿宋_GB2312" w:eastAsia="仿宋_GB2312"/>
          <w:sz w:val="28"/>
          <w:szCs w:val="28"/>
          <w:lang w:eastAsia="zh-CN"/>
        </w:rPr>
        <w:t>无购置。</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0.56</w:t>
      </w:r>
      <w:r>
        <w:rPr>
          <w:rFonts w:hint="eastAsia" w:ascii="仿宋_GB2312" w:eastAsia="仿宋_GB2312"/>
          <w:sz w:val="28"/>
          <w:szCs w:val="28"/>
        </w:rPr>
        <w:t>万元，主要原因：</w:t>
      </w:r>
      <w:r>
        <w:rPr>
          <w:rFonts w:hint="eastAsia" w:ascii="仿宋_GB2312" w:eastAsia="仿宋_GB2312"/>
          <w:sz w:val="28"/>
          <w:szCs w:val="28"/>
          <w:lang w:eastAsia="zh-CN"/>
        </w:rPr>
        <w:t>正常运行维护支出</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1</w:t>
      </w:r>
      <w:r>
        <w:rPr>
          <w:rFonts w:hint="eastAsia" w:ascii="仿宋_GB2312" w:eastAsia="仿宋_GB2312"/>
          <w:sz w:val="28"/>
          <w:szCs w:val="28"/>
        </w:rPr>
        <w:t>辆。</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支出合计</w:t>
      </w:r>
      <w:r>
        <w:rPr>
          <w:rFonts w:hint="eastAsia" w:ascii="仿宋_GB2312" w:eastAsia="仿宋_GB2312"/>
          <w:sz w:val="28"/>
          <w:szCs w:val="28"/>
          <w:lang w:val="en-US" w:eastAsia="zh-CN"/>
        </w:rPr>
        <w:t>502.36</w:t>
      </w:r>
      <w:r>
        <w:rPr>
          <w:rFonts w:hint="eastAsia" w:ascii="仿宋_GB2312" w:eastAsia="仿宋_GB2312"/>
          <w:sz w:val="28"/>
          <w:szCs w:val="28"/>
        </w:rPr>
        <w:t>万元，比上年492.06万元增加10.3万元，增加原因：正常物价上涨。</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5512.65</w:t>
      </w:r>
      <w:r>
        <w:rPr>
          <w:rFonts w:hint="eastAsia" w:ascii="仿宋_GB2312" w:eastAsia="仿宋_GB2312"/>
          <w:sz w:val="28"/>
          <w:szCs w:val="28"/>
        </w:rPr>
        <w:t>万元，其中：政府采购货物支出</w:t>
      </w:r>
      <w:r>
        <w:rPr>
          <w:rFonts w:ascii="仿宋_GB2312" w:eastAsia="仿宋_GB2312"/>
          <w:sz w:val="28"/>
          <w:szCs w:val="28"/>
        </w:rPr>
        <w:t>248.05</w:t>
      </w:r>
      <w:r>
        <w:rPr>
          <w:rFonts w:hint="eastAsia" w:ascii="仿宋_GB2312" w:eastAsia="仿宋_GB2312"/>
          <w:sz w:val="28"/>
          <w:szCs w:val="28"/>
        </w:rPr>
        <w:t>万元，政府采购工程支出</w:t>
      </w:r>
      <w:r>
        <w:rPr>
          <w:rFonts w:ascii="仿宋_GB2312" w:eastAsia="仿宋_GB2312"/>
          <w:sz w:val="28"/>
          <w:szCs w:val="28"/>
        </w:rPr>
        <w:t>1167.01</w:t>
      </w:r>
      <w:r>
        <w:rPr>
          <w:rFonts w:hint="eastAsia" w:ascii="仿宋_GB2312" w:eastAsia="仿宋_GB2312"/>
          <w:sz w:val="28"/>
          <w:szCs w:val="28"/>
        </w:rPr>
        <w:t>万元，政府采购服务支出</w:t>
      </w:r>
      <w:r>
        <w:rPr>
          <w:rFonts w:ascii="仿宋_GB2312" w:eastAsia="仿宋_GB2312"/>
          <w:sz w:val="28"/>
          <w:szCs w:val="28"/>
        </w:rPr>
        <w:t>4097.59</w:t>
      </w:r>
      <w:r>
        <w:rPr>
          <w:rFonts w:hint="eastAsia" w:ascii="仿宋_GB2312" w:eastAsia="仿宋_GB2312"/>
          <w:sz w:val="28"/>
          <w:szCs w:val="28"/>
        </w:rPr>
        <w:t>万元。授予中小企业合同金额</w:t>
      </w:r>
      <w:r>
        <w:rPr>
          <w:rFonts w:ascii="仿宋_GB2312" w:eastAsia="仿宋_GB2312"/>
          <w:sz w:val="28"/>
          <w:szCs w:val="28"/>
        </w:rPr>
        <w:t>5171.56</w:t>
      </w:r>
      <w:r>
        <w:rPr>
          <w:rFonts w:hint="eastAsia" w:ascii="仿宋_GB2312" w:eastAsia="仿宋_GB2312"/>
          <w:sz w:val="28"/>
          <w:szCs w:val="28"/>
        </w:rPr>
        <w:t>万元，占政府采购支出总额的</w:t>
      </w:r>
      <w:r>
        <w:rPr>
          <w:rFonts w:hint="eastAsia" w:ascii="仿宋_GB2312" w:eastAsia="仿宋_GB2312"/>
          <w:sz w:val="28"/>
          <w:szCs w:val="28"/>
          <w:lang w:eastAsia="zh-CN"/>
        </w:rPr>
        <w:t>93.81</w:t>
      </w:r>
      <w:r>
        <w:rPr>
          <w:rFonts w:hint="eastAsia" w:ascii="仿宋_GB2312" w:eastAsia="仿宋_GB2312"/>
          <w:sz w:val="28"/>
          <w:szCs w:val="28"/>
        </w:rPr>
        <w:t>%，其中：授予小微企业合同金额</w:t>
      </w:r>
      <w:r>
        <w:rPr>
          <w:rFonts w:ascii="仿宋_GB2312" w:eastAsia="仿宋_GB2312"/>
          <w:sz w:val="28"/>
          <w:szCs w:val="28"/>
        </w:rPr>
        <w:t>2931.74</w:t>
      </w:r>
      <w:r>
        <w:rPr>
          <w:rFonts w:hint="eastAsia" w:ascii="仿宋_GB2312" w:eastAsia="仿宋_GB2312"/>
          <w:sz w:val="28"/>
          <w:szCs w:val="28"/>
        </w:rPr>
        <w:t>万元，占政府采购支出总额的</w:t>
      </w:r>
      <w:r>
        <w:rPr>
          <w:rFonts w:ascii="仿宋_GB2312" w:eastAsia="仿宋_GB2312"/>
          <w:sz w:val="28"/>
          <w:szCs w:val="28"/>
        </w:rPr>
        <w:t>53.18</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12月31日，北京市西城区人民政府陶然亭街道办事处（本级）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1</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政府购买服务决算2456.11</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2" w:firstLineChars="200"/>
        <w:rPr>
          <w:rFonts w:hint="eastAsia" w:ascii="仿宋_GB2312" w:hAnsi="Times New Roman" w:eastAsia="仿宋_GB2312" w:cs="Times New Roman"/>
          <w:b/>
          <w:color w:val="000000"/>
          <w:spacing w:val="-2"/>
          <w:sz w:val="32"/>
          <w:szCs w:val="32"/>
          <w:lang w:eastAsia="zh-CN"/>
        </w:rPr>
      </w:pPr>
      <w:r>
        <w:rPr>
          <w:rFonts w:hint="eastAsia" w:ascii="仿宋_GB2312" w:eastAsia="仿宋_GB2312"/>
          <w:b/>
          <w:color w:val="000000"/>
          <w:spacing w:val="-2"/>
          <w:sz w:val="32"/>
          <w:szCs w:val="32"/>
          <w:lang w:val="en-US" w:eastAsia="zh-CN"/>
        </w:rPr>
        <w:t>7.</w:t>
      </w:r>
      <w:r>
        <w:rPr>
          <w:rFonts w:hint="eastAsia" w:ascii="仿宋_GB2312" w:eastAsia="仿宋_GB2312"/>
          <w:b/>
          <w:color w:val="000000"/>
          <w:spacing w:val="-2"/>
          <w:sz w:val="32"/>
          <w:szCs w:val="32"/>
        </w:rPr>
        <w:t>各</w:t>
      </w:r>
      <w:r>
        <w:rPr>
          <w:rFonts w:hint="eastAsia" w:ascii="仿宋_GB2312" w:eastAsia="仿宋_GB2312"/>
          <w:b/>
          <w:color w:val="000000"/>
          <w:spacing w:val="-2"/>
          <w:sz w:val="32"/>
          <w:szCs w:val="32"/>
          <w:lang w:eastAsia="zh-CN"/>
        </w:rPr>
        <w:t>单位</w:t>
      </w:r>
      <w:r>
        <w:rPr>
          <w:rFonts w:hint="eastAsia" w:ascii="仿宋_GB2312" w:eastAsia="仿宋_GB2312"/>
          <w:b/>
          <w:color w:val="000000"/>
          <w:spacing w:val="-2"/>
          <w:sz w:val="32"/>
          <w:szCs w:val="32"/>
        </w:rPr>
        <w:t>需根据自身业务职能</w:t>
      </w:r>
      <w:r>
        <w:rPr>
          <w:rFonts w:hint="eastAsia" w:ascii="仿宋_GB2312" w:hAnsi="Times New Roman" w:eastAsia="仿宋_GB2312" w:cs="Times New Roman"/>
          <w:b/>
          <w:color w:val="000000"/>
          <w:spacing w:val="-2"/>
          <w:sz w:val="32"/>
          <w:szCs w:val="32"/>
        </w:rPr>
        <w:t>，</w:t>
      </w:r>
      <w:r>
        <w:rPr>
          <w:rFonts w:hint="eastAsia" w:ascii="仿宋_GB2312" w:hAnsi="Times New Roman" w:eastAsia="仿宋_GB2312" w:cs="Times New Roman"/>
          <w:b/>
          <w:color w:val="000000"/>
          <w:spacing w:val="-2"/>
          <w:sz w:val="32"/>
          <w:szCs w:val="32"/>
          <w:lang w:eastAsia="zh-CN"/>
        </w:rPr>
        <w:t>补充当年</w:t>
      </w:r>
      <w:r>
        <w:rPr>
          <w:rFonts w:hint="eastAsia" w:ascii="仿宋_GB2312" w:hAnsi="Times New Roman" w:eastAsia="仿宋_GB2312" w:cs="Times New Roman"/>
          <w:b/>
          <w:color w:val="000000"/>
          <w:spacing w:val="-2"/>
          <w:sz w:val="32"/>
          <w:szCs w:val="32"/>
          <w:lang w:val="en-US" w:eastAsia="zh-CN"/>
        </w:rPr>
        <w:t>使用的所有</w:t>
      </w:r>
      <w:r>
        <w:rPr>
          <w:rFonts w:hint="eastAsia" w:ascii="仿宋_GB2312" w:hAnsi="Times New Roman" w:eastAsia="仿宋_GB2312" w:cs="Times New Roman"/>
          <w:b/>
          <w:color w:val="000000"/>
          <w:spacing w:val="-2"/>
          <w:sz w:val="32"/>
          <w:szCs w:val="32"/>
          <w:lang w:eastAsia="zh-CN"/>
        </w:rPr>
        <w:t>支出功能分类项级科目名词解释，例如：</w:t>
      </w:r>
    </w:p>
    <w:p>
      <w:pPr>
        <w:numPr>
          <w:ilvl w:val="0"/>
          <w:numId w:val="0"/>
        </w:numPr>
        <w:ind w:firstLine="632" w:firstLineChars="200"/>
        <w:rPr>
          <w:rFonts w:hint="eastAsia" w:ascii="仿宋_GB2312" w:eastAsia="仿宋_GB2312"/>
          <w:sz w:val="28"/>
          <w:szCs w:val="28"/>
          <w:lang w:val="en-US" w:eastAsia="zh-CN"/>
        </w:rPr>
      </w:pPr>
      <w:r>
        <w:rPr>
          <w:rFonts w:hint="eastAsia" w:ascii="仿宋_GB2312" w:hAnsi="Times New Roman" w:eastAsia="仿宋_GB2312" w:cs="Times New Roman"/>
          <w:b/>
          <w:color w:val="000000"/>
          <w:spacing w:val="-2"/>
          <w:sz w:val="32"/>
          <w:szCs w:val="32"/>
          <w:lang w:val="en-US" w:eastAsia="zh-CN"/>
        </w:rPr>
        <w:t>一般公共服务支出（类）人大事务（款）行政运行（项）：反映行政单位（包括实行公务员管理的事业单位）的基本支出</w:t>
      </w:r>
      <w:r>
        <w:rPr>
          <w:rFonts w:hint="eastAsia" w:ascii="仿宋_GB2312" w:eastAsia="仿宋_GB2312"/>
          <w:sz w:val="28"/>
          <w:szCs w:val="28"/>
          <w:lang w:val="en-US" w:eastAsia="zh-CN"/>
        </w:rPr>
        <w:t>。</w:t>
      </w:r>
    </w:p>
    <w:p>
      <w:pPr>
        <w:jc w:val="both"/>
        <w:rPr>
          <w:rFonts w:hint="eastAsia" w:ascii="黑体" w:eastAsia="黑体"/>
          <w:sz w:val="32"/>
          <w:szCs w:val="32"/>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jc w:val="both"/>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numPr>
          <w:ilvl w:val="0"/>
          <w:numId w:val="2"/>
        </w:numPr>
        <w:ind w:firstLine="560" w:firstLineChars="200"/>
        <w:rPr>
          <w:rFonts w:hint="eastAsia" w:ascii="黑体" w:eastAsia="黑体"/>
          <w:sz w:val="28"/>
          <w:szCs w:val="28"/>
          <w:lang w:eastAsia="zh-CN"/>
        </w:rPr>
      </w:pPr>
      <w:r>
        <w:rPr>
          <w:rFonts w:hint="eastAsia" w:ascii="黑体" w:eastAsia="黑体"/>
          <w:sz w:val="28"/>
          <w:szCs w:val="28"/>
          <w:highlight w:val="none"/>
        </w:rPr>
        <w:t>部门整体绩效评价报告</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2024年年初预算批复数24,685.61万元，其中：基本支出6,657.74万元、项目支出18,027.87万元；</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预算数25,682.92万元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6,724.56</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、项目支出预算数18,958.36</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支出23,197.00</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rPr>
        <w:t>6,636.09</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项目</w:t>
      </w:r>
      <w:r>
        <w:rPr>
          <w:rFonts w:hint="eastAsia" w:ascii="仿宋_GB2312" w:hAnsi="宋体" w:eastAsia="仿宋_GB2312" w:cs="宋体"/>
          <w:color w:val="000000"/>
          <w:kern w:val="0"/>
          <w:sz w:val="32"/>
          <w:szCs w:val="32"/>
        </w:rPr>
        <w:t>支出16,560.91</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rPr>
        <w:t>90.32%。</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陶然亭街道办事处重视绩效管理工作，明确落实各科室绩效管理职责，通过全过程绩效监控管理，深入分析单位预算管理、绩效目标运行等情况。2024年度所有预算项目均填报绩效目标，推进重点项目资金事前绩效评估，并按照工作进度，开展绩效目标运行监控、成本预算绩效分析、绩效自评等预算绩效管理工作，并注重事后监督，强化单位绩效管理和支出成本控制，做到绩效运行监控全覆盖。</w:t>
      </w:r>
    </w:p>
    <w:p>
      <w:pPr>
        <w:spacing w:line="600" w:lineRule="exact"/>
        <w:ind w:left="105" w:leftChars="50" w:firstLine="480" w:firstLineChars="15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1、产出数量</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陶然亭街道办事处紧扣高质量发展首要任务，压实预算绩效管理职责，确保各项工作任务及时完成。本年度开展党群阵地主题活动522场，服务党员群众7097人次；助力“北京中海大吉巷”，吸引国家级、市级首店5家。制定企业大走访工作方案，落实街道班子联系服务重点企业和“服务包”制度，与128家重点企业深化对接交流，累计走访企业558家次。高标准完成第五次经济普查工作，登记单位903家，完成人口抽样、劳动力等各类专项调查。制定街道治本攻坚三年行动方案，围绕限额以下工程、地下空间等重点行业领域开展检查17716家次，发现并整改隐患11758处。圆满完成新中国成立75周年等重大保障任务，出动群防群治力量6.2万余人次。大力推进大屋脊住宅楼综合治理，完成消防报警系统改造，发放防火逃生“四件套”363套，安装烟感报警器176个。协同燃气公司更换安全配件3753户、建设电动车车棚27座、集中充电接口1504个、安装一体化车棚“灭火球”423个、平房区单联智能充电插座355个，全面保障地区充电安全。有序推进姚家井小区等13栋楼6.4万平米老楼改造。系统实施动静态交通治理，完成龙爪槐胡同、姚家井二巷微循环改造，重设前兵马街、果子巷道路施划，新增车位86个。“执法+”模式有序拆除健宫医院彩钢房、康有为故居违建86处。完成20户家庭适老化改造及138户适老化消费补贴审批。加大0-3岁婴幼儿普惠托育服务供给，建成普惠托位61个。</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产出质量</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陶然亭街道办事处2024年坚守自身职能职责，紧紧围绕“服务群众、强化管理、不断提升工作能力”的理念，按照年初制定的工作计划，狠抓过程管理和目标管理，稳打稳扎开展各项工作，各项基本履职和重点项目工作均高效率、高质量完成预先设定的质量指标。政治建设方面，坚持以政治建设为统领，扎实开展党纪学习教育，深入开展 “五个一”系列活动，围绕区、街重点任务和群众急难愁盼问题形成年度“揭榜挂帅”调研文章59篇，街道获得“组织奖”；经济发展方面，锚定“4+N”产业方向，举办“共享新机遇共赢新未来”地区高质量发展推介会，助力“北京中海大吉巷”，实现招商意向签约率75.51%,办结企业诉求办结率100%；城市运行方面，协同燃气公司更换安全配件，年度任务完成率98.76%；全面保障地区充电安全，建设电动车车棚及集中充电接口，指标完成率161.2%；制定街道治本攻坚三年行动方案，围绕限额以下工程、地下空间等重点行业领域开展检查，自查覆盖率、企业整改覆盖率均列全区第一；创新“警保联动”工作机制，将6类169名保安力量统一纳入管理调度机制，重点部位敏感案件发案率同比下降26%,发案率(由低到高)全区第三；城市品质建设方面，有序拆除违章违规建筑，任务完成率100.86%，全区第三。民生保障方面，在全区率先打造完成“一刻钟就业服务圈”,开展“陶然业课堂”技能培训等特色服务，有效保障辖区内失业人员实现就业。“五个制度”全程跟进高校毕业生就业，高校毕业生就业率达97.94%。“家门口”就业服务工作被《北京改革情况交流》刊登。</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产出进度</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陶然亭街道办事处2024年度各项工作有序推进落实，严控预算执行进度，确保各项工作在年度内完成设定指标。全年项目支出172个，5个转移支付项目本年度未执行，分别为京财科文指[2023]2272号2024年三馆一站免费开放补助经费、京财资环指[2024]1637号精细化治理项目经费、京财资环指[2024]1637号精细化治理项目经费、京财资环指[2024]1637号重点地区深度保洁项目经费、京财公用指[2024]1692号2023年度背街小巷环境精细化整治提升奖励资金，涉及预算金额287.63万元。根据相关规定转移支付资金可结转第二年继续使用。</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产出成本</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陶然亭街道办事处2024年度坚持“勤俭办一切事业和习惯过紧日子”的要求，夯实预算编制基础，提高预算编制准确性，强化预算执行、监督的力度。</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2024年年初预算批复数24,685.61万元，全年预算数25,682.92万元，资金总体支出23,197.00万元，预算执行率为90.32%，预算支出未超过全年预算数。</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（二）效果实现情况分析</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经济效益</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锚定“4+N”产业方向，举办“共享新机遇共赢新未来”地区高质量发展推介会，宣传地区产业发展定位，搭建招商引资新平台。年内引入企业4家，注册资本140亿元，贡献税收超6500万。助力太平养老保险公司统计关系迁入我区，实现养老金融纳统超7亿。</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社会效益</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守牢安全底线，城市运行保障取得新成效。制定街道治本攻坚三年行动方案，围绕限额以下工程、地下空间等重点行业领域开展检查，发现并整改隐患；大力推进大屋脊住宅楼综合治理，完成消防报警系统改造，全面保障地区充电安全，安装一体化车棚“灭火球”及平房区单联智能充电插座；创新“警保联动”工作机制，将各类保安力量统一纳入管理调度机制；完成京都瑞成大厦多业态混合专项整治。整合社区法律顾问、配备公共法律服务一体机，打造“一站式”公共法律服务站。</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聚焦“七有”“五性”,民生保障水平实现新提升。积极开展技能培训等特色服务，打造养老服务综合体，形成“1中心+2机构+3驿站”格局。深化助餐网络，开办可现场制餐堂食的老年餐桌，擦亮“陶乐融融”居家服务品牌，推进“小龙人”嵌入式社区托育服务。打造“一刻钟便民服务圈”,搭建便民服务电子地图，新建社区级温馨家园两处。创新“物业+精准帮扶”救助，“加减”工作法推动住房保障。构建“人人参与”大卫生大健康格局，联合辖区内医疗体举办健康素养促进活动。落实在施项目“243”工作机制，建立顺丰劳动纠纷调解中心及泰和大厦物业调委会。</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环境效益</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积极开展“污染防治攻坚战”专项行动，重点开展“零点行动”紧盯在施工地不放松。全力保障大吉地块、职工服务中心、戏曲学院附中及十五中风雨操场等重点项目有序施工。“执法+”模式有序拆除健宫医院彩钢房、康有为故居违建86处3530.05平米。推进公共空间改造提升，完成高家寨10号楼院落、沁园东南角公共空间改造，美化禧园失管绿地，黑窑厂西里部分路面修缮加固等项目。启动“幸福街巷美好陶然”1.0工程，多方联动推进南堂子胡同等3条胡同改造提升。福州馆前街2、4号院，窑台胡同4号院，双柳树胡同甲1号院被评为“最美院落”。</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可持续性影响</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制定发布街道级《文化建设三年行动方案》,总结提炼陶然文化内涵，提出“陶然江亭雅集”品牌，打造高质量传统文化传承创新、交流体验平台；高标准创建公共文化服务体系示范区，组织开展故宫文化进社区等群众文化活动，提升综合文化中心服务效能；创新实践形式深化“六德品牌”建设，进一步修订“六德"内涵，建立“六德”评选长效机制，设立“陶然奖学金”和“四点半学校”,打造"1+10+N"街道级儿童基层公共服务示范中心。联合区纪委监委共同开展“六德娃话家风”优秀家风宣讲活动，制定“胡桃仁计划”,发挥辖区文化资源优势举办多样化文化沙龙，街道处级领导、社区五老、优秀社区书记等担任学校“第一班主任”,多方面助力青少年实现全面发展。</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坚持共治共享，社会治理效能再上新台阶。构建“聚心力、细服务、强分类、促共治”的接诉即办工作体系，制定“十三条”优化措施，打造"1+5”机制，出台《热线办理“十不能”》。充分落实“暖心行动”,发挥专项热线作用，建立“30分钟内响应、2小时内办理”快速联动处置机制，打造“合陶伙伴2.0”治理新模式通过深化社区工作督导机制，以公益金为牵引，实施“全链式”管理机制。开展“一核多元”物业管理体系构建。加强低值垃圾可回收体系建设，建立预约上门回收、集中投放日、驿站固定交投的全覆盖收集模式，推进垃圾分类源头减量。持续推动现代化西城实践全面进步。</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服务对象满意度</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lang w:eastAsia="zh-CN"/>
        </w:rPr>
      </w:pPr>
      <w:bookmarkStart w:id="1" w:name="_Toc25670"/>
      <w:bookmarkStart w:id="2" w:name="_Toc9218"/>
      <w:bookmarkStart w:id="3" w:name="_Toc10543"/>
      <w:bookmarkStart w:id="4" w:name="_Toc21288"/>
      <w:bookmarkStart w:id="5" w:name="_Toc14761"/>
      <w:bookmarkStart w:id="6" w:name="_Toc23321"/>
      <w:bookmarkStart w:id="7" w:name="_Toc22811"/>
      <w:bookmarkStart w:id="8" w:name="_Toc2139"/>
      <w:r>
        <w:rPr>
          <w:rFonts w:hint="eastAsia" w:ascii="仿宋_GB2312" w:hAnsi="宋体" w:eastAsia="仿宋_GB2312" w:cs="宋体"/>
          <w:color w:val="000000"/>
          <w:kern w:val="0"/>
          <w:sz w:val="32"/>
          <w:szCs w:val="32"/>
        </w:rPr>
        <w:t>2024年度，陶然亭街道办事处各项工作有序推进政治建设、经济发展城市运行保障、民生保障、文化教育建设基本履职工作以及各项内部运行保障等方面工作。</w:t>
      </w:r>
      <w:bookmarkEnd w:id="1"/>
      <w:bookmarkEnd w:id="2"/>
      <w:bookmarkEnd w:id="3"/>
      <w:bookmarkEnd w:id="4"/>
      <w:bookmarkEnd w:id="5"/>
      <w:bookmarkEnd w:id="6"/>
      <w:bookmarkEnd w:id="7"/>
      <w:bookmarkEnd w:id="8"/>
      <w:r>
        <w:rPr>
          <w:rFonts w:hint="eastAsia" w:ascii="仿宋_GB2312" w:hAnsi="宋体" w:eastAsia="仿宋_GB2312" w:cs="宋体"/>
          <w:color w:val="000000"/>
          <w:kern w:val="0"/>
          <w:sz w:val="32"/>
          <w:szCs w:val="32"/>
        </w:rPr>
        <w:t>制定企业大走访工作方案，落实街道班子联系服务重点企业和“服务包”制度，与重点企业深化对接交流，办结企业诉求，满意率100%。充分落实“暖心行动”,发挥专项热线作用，主要领导每周主动与高频诉求“老熟人”见面。全年无休保证陶然亭街道“12345市民服务热线”稳定顺利运行，办件科室及社区满意度达到100%，街巷服务、社区工作者经费、幼儿园经费、居民最低生活保障等重点项目服务对象满意度均达到90%以上，服务及受益对象满意度达到既定目标，提高了群众的幸福感、获得感和满意度。</w:t>
      </w:r>
    </w:p>
    <w:p>
      <w:pPr>
        <w:numPr>
          <w:ilvl w:val="0"/>
          <w:numId w:val="0"/>
        </w:numPr>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r>
        <w:rPr>
          <w:rFonts w:hint="eastAsia" w:ascii="黑体" w:eastAsia="黑体"/>
          <w:sz w:val="28"/>
          <w:szCs w:val="28"/>
          <w:lang w:eastAsia="zh-CN"/>
        </w:rPr>
        <w:t>二、</w:t>
      </w:r>
      <w:r>
        <w:rPr>
          <w:rFonts w:hint="eastAsia" w:ascii="黑体" w:eastAsia="黑体"/>
          <w:sz w:val="28"/>
          <w:szCs w:val="28"/>
        </w:rPr>
        <w:t>项目支出绩效评价报告</w:t>
      </w:r>
    </w:p>
    <w:p>
      <w:pPr>
        <w:tabs>
          <w:tab w:val="left" w:pos="720"/>
        </w:tabs>
        <w:spacing w:before="100" w:beforeAutospacing="1" w:after="100" w:afterAutospacing="1"/>
        <w:ind w:firstLine="640" w:firstLineChars="200"/>
        <w:outlineLvl w:val="0"/>
        <w:rPr>
          <w:rFonts w:hint="eastAsia" w:ascii="仿宋_GB2312" w:hAnsi="仿宋_GB2312" w:eastAsia="仿宋_GB2312" w:cs="仿宋_GB2312"/>
          <w:sz w:val="32"/>
          <w:szCs w:val="32"/>
        </w:rPr>
      </w:pPr>
      <w:bookmarkStart w:id="9" w:name="_Toc26359"/>
      <w:r>
        <w:rPr>
          <w:rFonts w:hint="eastAsia" w:ascii="仿宋_GB2312" w:hAnsi="仿宋_GB2312" w:eastAsia="仿宋_GB2312" w:cs="仿宋_GB2312"/>
          <w:sz w:val="32"/>
          <w:szCs w:val="32"/>
        </w:rPr>
        <w:t>（一）项目概况</w:t>
      </w:r>
      <w:bookmarkEnd w:id="9"/>
    </w:p>
    <w:p>
      <w:pPr>
        <w:ind w:left="42" w:leftChars="2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随着我国经济发展和人们生活水平的不断提高，餐饮油烟造成的环境污染问题逐渐受到人们的关注。陶然亭街道办事处城市管理办公室</w:t>
      </w:r>
      <w:r>
        <w:rPr>
          <w:rFonts w:hint="eastAsia" w:ascii="仿宋_GB2312" w:hAnsi="宋体" w:eastAsia="仿宋_GB2312"/>
          <w:sz w:val="32"/>
          <w:szCs w:val="32"/>
        </w:rPr>
        <w:t>按照区环保局要求，并依据北京市人民政府办公厅《关于印发&lt;北京市深入打好污染防治攻坚战2023年行动计划&gt;的通知》（京政办发〔2023〕4号）、《北京市大气污染防治条例》《西城区“十四五”时期生态环境保护规划》关于加强大气污染防治精细化管理工作，做好重点区域周边的污染源整治的文件精神，申报了2024年度居民油烟污染防治项目。项目主要工作内容为：在中信城禧园中心绿地南北侧房屋油烟管道顶部区域加装20套居民油烟净化设备，做好街道防治大气污染工作，减少VOCs排放，改善区域环境、提高居民生活质量。</w:t>
      </w:r>
    </w:p>
    <w:p>
      <w:pPr>
        <w:ind w:left="42" w:leftChars="2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2024年度陶然亭街道办事处居民油烟污染防治项目年初预算批复金额2,040,000.00元，年内调减预算43,800.00元，调整后预算资金共计1,996,200.00元；2024年度支出1,996,200.00元，结余资金0.00元。预算执行率为100%。</w:t>
      </w:r>
    </w:p>
    <w:p>
      <w:pPr>
        <w:tabs>
          <w:tab w:val="left" w:pos="720"/>
        </w:tabs>
        <w:spacing w:before="100" w:beforeAutospacing="1" w:after="100" w:afterAutospacing="1"/>
        <w:ind w:firstLine="640" w:firstLineChars="200"/>
        <w:outlineLvl w:val="0"/>
        <w:rPr>
          <w:rFonts w:hint="eastAsia" w:ascii="仿宋_GB2312" w:hAnsi="仿宋_GB2312" w:eastAsia="仿宋_GB2312" w:cs="仿宋_GB2312"/>
          <w:sz w:val="32"/>
          <w:szCs w:val="32"/>
        </w:rPr>
      </w:pPr>
      <w:bookmarkStart w:id="10" w:name="_Toc18741"/>
      <w:r>
        <w:rPr>
          <w:rFonts w:hint="eastAsia" w:ascii="仿宋_GB2312" w:hAnsi="仿宋_GB2312" w:eastAsia="仿宋_GB2312" w:cs="仿宋_GB2312"/>
          <w:sz w:val="32"/>
          <w:szCs w:val="32"/>
        </w:rPr>
        <w:t>（二）项目绩效目标</w:t>
      </w:r>
      <w:bookmarkEnd w:id="10"/>
    </w:p>
    <w:p>
      <w:pPr>
        <w:ind w:left="42" w:leftChars="2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项目总体目标为：在中信城禧园中心绿地南北侧房屋油烟管道顶部区域加装居民油烟净化设备共计20套，以达到集中管理，减少居民餐饮油烟污染物排放浓度。</w:t>
      </w:r>
    </w:p>
    <w:p>
      <w:pPr>
        <w:ind w:left="42" w:leftChars="2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具体绩效指标为：</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1.产出数量指标：改造烟道数20条；安装设备20台。</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2.产出质量指标：安装设备完成率达到100%；设备达标率达到100%；设备故障率不高于5%。</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3.产出时效指标：2023年10月前完成前期调研、制定工作方案等工作；2023年11月前完成采购程序；2023年12月之前完成项目实施阶段；2024年5月之前完成项目验收工作。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4.产出成本指标：项目预算控制数控制在2,040,000.00元以内.</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5.社会效益指标：通过开展居民油烟改造试点项目，减少因居民油烟引起的诉求数量，进一步提升油烟治理水平，使周边居民受益.</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6.环境效益指标:加强重点区域居民油烟治理，有效降低居民油烟等污染物大气排放浓度。确保街道PM2.5浓度不进入全市后30名。</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7.可持续影响指标:为居民楼加装的油烟净化设备，可持续开展居民油烟集中管理，有助于持续开展居民油烟治理工作。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8.服务对象满意度指标：受益户数360户，满意率达90%以上。</w:t>
      </w:r>
    </w:p>
    <w:p>
      <w:pPr>
        <w:tabs>
          <w:tab w:val="left" w:pos="720"/>
        </w:tabs>
        <w:spacing w:before="100" w:beforeAutospacing="1" w:after="100" w:afterAutospacing="1"/>
        <w:ind w:firstLine="640" w:firstLineChars="200"/>
        <w:outlineLvl w:val="0"/>
        <w:rPr>
          <w:rFonts w:hint="eastAsia" w:ascii="黑体" w:hAnsi="黑体" w:eastAsia="黑体" w:cs="黑体"/>
          <w:bCs/>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绩效评价分析</w:t>
      </w:r>
    </w:p>
    <w:p>
      <w:pPr>
        <w:tabs>
          <w:tab w:val="left" w:pos="720"/>
        </w:tabs>
        <w:spacing w:before="100" w:beforeAutospacing="1" w:after="100" w:afterAutospacing="1"/>
        <w:ind w:firstLine="640" w:firstLineChars="200"/>
        <w:outlineLvl w:val="0"/>
        <w:rPr>
          <w:rFonts w:hint="eastAsia" w:ascii="仿宋_GB2312" w:hAnsi="仿宋_GB2312" w:eastAsia="仿宋_GB2312" w:cs="仿宋_GB2312"/>
          <w:sz w:val="32"/>
          <w:szCs w:val="32"/>
        </w:rPr>
      </w:pPr>
      <w:bookmarkStart w:id="11" w:name="_Toc9688"/>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项目决策情况</w:t>
      </w:r>
      <w:bookmarkEnd w:id="11"/>
    </w:p>
    <w:p>
      <w:pPr>
        <w:ind w:left="42" w:leftChars="20" w:firstLine="640" w:firstLineChars="200"/>
        <w:rPr>
          <w:rFonts w:hint="eastAsia" w:ascii="仿宋_GB2312" w:hAnsi="宋体" w:eastAsia="仿宋_GB2312"/>
          <w:sz w:val="32"/>
          <w:szCs w:val="32"/>
        </w:rPr>
      </w:pPr>
      <w:bookmarkStart w:id="12" w:name="_Toc4693"/>
      <w:r>
        <w:rPr>
          <w:rFonts w:hint="eastAsia" w:ascii="仿宋_GB2312" w:hAnsi="仿宋_GB2312" w:eastAsia="仿宋_GB2312" w:cs="仿宋_GB2312"/>
          <w:kern w:val="0"/>
          <w:sz w:val="32"/>
          <w:szCs w:val="32"/>
        </w:rPr>
        <w:t>项目立项符合《北京市深入打好污染防治攻坚战2023年行动计划》关于</w:t>
      </w:r>
      <w:r>
        <w:rPr>
          <w:rFonts w:hint="eastAsia" w:ascii="仿宋_GB2312" w:hAnsi="仿宋_GB2312" w:eastAsia="仿宋_GB2312" w:cs="仿宋_GB2312"/>
          <w:sz w:val="32"/>
          <w:szCs w:val="32"/>
        </w:rPr>
        <w:t>“按照首都功能核心区定位要求，组织街道强化精细化治理，开展居民餐饮油烟治理设施升级改造试点”的文件精神，以及</w:t>
      </w:r>
      <w:r>
        <w:rPr>
          <w:rFonts w:hint="eastAsia" w:ascii="仿宋_GB2312" w:hAnsi="仿宋_GB2312" w:eastAsia="仿宋_GB2312" w:cs="仿宋_GB2312"/>
          <w:kern w:val="0"/>
          <w:sz w:val="32"/>
          <w:szCs w:val="32"/>
        </w:rPr>
        <w:t>《西城区“十四五”时期生态环境保护规划》</w:t>
      </w:r>
      <w:r>
        <w:rPr>
          <w:rFonts w:hint="eastAsia" w:ascii="仿宋_GB2312" w:hAnsi="仿宋_GB2312" w:eastAsia="仿宋_GB2312" w:cs="仿宋_GB2312"/>
          <w:sz w:val="32"/>
          <w:szCs w:val="32"/>
        </w:rPr>
        <w:t>（西政发〔2022〕3号）关于“推广使用高效净化型家用抽油烟机，试点开展居民油烟治理升级改造”的要求</w:t>
      </w:r>
      <w:r>
        <w:rPr>
          <w:rFonts w:hint="eastAsia" w:ascii="仿宋_GB2312" w:hAnsi="仿宋_GB2312" w:eastAsia="仿宋_GB2312" w:cs="仿宋_GB2312"/>
          <w:kern w:val="0"/>
          <w:sz w:val="32"/>
          <w:szCs w:val="32"/>
        </w:rPr>
        <w:t>，项目立项及预算申报均规范履主任办公会、工委会审议通过等内部决策程序。</w:t>
      </w:r>
      <w:r>
        <w:rPr>
          <w:rFonts w:hint="eastAsia" w:ascii="仿宋_GB2312" w:hAnsi="宋体" w:eastAsia="仿宋_GB2312"/>
          <w:sz w:val="32"/>
          <w:szCs w:val="32"/>
        </w:rPr>
        <w:t>且符合本单位“三定”规范“落实清洁降尘相关任务和政策措施，配合做好各领域清洁降尘工作”的相关职责。</w:t>
      </w:r>
    </w:p>
    <w:p>
      <w:pPr>
        <w:ind w:left="42" w:leftChars="20" w:firstLine="640" w:firstLineChars="200"/>
        <w:rPr>
          <w:rFonts w:hint="eastAsia" w:ascii="仿宋_GB2312" w:hAnsi="宋体" w:eastAsia="仿宋_GB2312"/>
          <w:sz w:val="32"/>
          <w:szCs w:val="32"/>
        </w:rPr>
      </w:pPr>
      <w:r>
        <w:rPr>
          <w:rFonts w:hint="eastAsia" w:ascii="仿宋_GB2312" w:hAnsi="宋体" w:eastAsia="仿宋_GB2312"/>
          <w:sz w:val="32"/>
          <w:szCs w:val="32"/>
        </w:rPr>
        <w:t>陶然亭街道办事处对中信城绿地环保子站周边区域实施居民油烟深度改造，为子站南北两侧两栋居民楼房的20条烟道，各一个油烟机。预算单价按照区生态环境局2023年《关于申报市级资金项目的通知》中关于计划改造的居民楼属于高层建筑的</w:t>
      </w:r>
      <w:r>
        <w:rPr>
          <w:rFonts w:ascii="仿宋_GB2312" w:hAnsi="宋体" w:eastAsia="仿宋_GB2312"/>
          <w:sz w:val="32"/>
          <w:szCs w:val="32"/>
        </w:rPr>
        <w:t>居民油烟改造费用</w:t>
      </w:r>
      <w:r>
        <w:rPr>
          <w:rFonts w:hint="eastAsia" w:ascii="仿宋_GB2312" w:hAnsi="宋体" w:eastAsia="仿宋_GB2312"/>
          <w:sz w:val="32"/>
          <w:szCs w:val="32"/>
        </w:rPr>
        <w:t>10.2万元/套的标准进行测算，预算编制较为合理。</w:t>
      </w:r>
    </w:p>
    <w:p>
      <w:pPr>
        <w:tabs>
          <w:tab w:val="left" w:pos="720"/>
        </w:tabs>
        <w:spacing w:before="100" w:beforeAutospacing="1" w:after="100" w:afterAutospacing="1"/>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项目过程情况</w:t>
      </w:r>
      <w:bookmarkEnd w:id="12"/>
    </w:p>
    <w:p>
      <w:pPr>
        <w:ind w:left="42" w:leftChars="20" w:firstLine="640" w:firstLineChars="200"/>
        <w:rPr>
          <w:rFonts w:hint="eastAsia" w:ascii="仿宋_GB2312" w:hAnsi="仿宋_GB2312" w:eastAsia="仿宋_GB2312" w:cs="仿宋_GB2312"/>
          <w:kern w:val="0"/>
          <w:sz w:val="32"/>
          <w:szCs w:val="32"/>
        </w:rPr>
      </w:pPr>
      <w:bookmarkStart w:id="13" w:name="_Toc10828"/>
      <w:r>
        <w:rPr>
          <w:rFonts w:hint="eastAsia" w:ascii="仿宋_GB2312" w:hAnsi="宋体" w:eastAsia="仿宋_GB2312"/>
          <w:sz w:val="32"/>
          <w:szCs w:val="32"/>
        </w:rPr>
        <w:t>该项目由陶然亭街道办事处城市管理办公室负责具体实施，在</w:t>
      </w:r>
      <w:r>
        <w:rPr>
          <w:rFonts w:hint="eastAsia" w:ascii="仿宋_GB2312" w:hAnsi="仿宋_GB2312" w:eastAsia="仿宋_GB2312" w:cs="仿宋_GB2312"/>
          <w:kern w:val="0"/>
          <w:sz w:val="32"/>
          <w:szCs w:val="32"/>
        </w:rPr>
        <w:t>项目资金管理方面，严格按照本单位《资金支出管理制度》的规定，在资金支出前上报主任办公会、工委会审议通过，资金支付条件和支付比例与合同约定相符，资金支出规范。</w:t>
      </w:r>
    </w:p>
    <w:p>
      <w:pPr>
        <w:ind w:left="42" w:leftChars="2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业务实施方面，严格按照本单位《采购管理制度》、《合同管理制度》等制度规定，通过竞争性磋商方式确定服务供应商，与北京明泰来环保科技有限公司签订了陶然亭街道居民油烟污染防治采购项目专用合同。</w:t>
      </w:r>
      <w:r>
        <w:rPr>
          <w:rFonts w:hint="eastAsia" w:ascii="仿宋_GB2312" w:hAnsi="宋体" w:eastAsia="仿宋_GB2312"/>
          <w:color w:val="000000"/>
          <w:sz w:val="32"/>
          <w:szCs w:val="32"/>
        </w:rPr>
        <w:t>项目实施过程中，建立中期运行监控机制，定期对项目进度、预算执行、资金使用、绩效目标实现程度等进行跟踪检查。通过定期召开项目推进会、现场查看、资料审查等方式，及时发现和纠正项目执行中的问题，确保项目按计划推进，预算资金安全、合规使用。</w:t>
      </w:r>
      <w:r>
        <w:rPr>
          <w:rFonts w:hint="eastAsia" w:ascii="仿宋_GB2312" w:hAnsi="仿宋_GB2312" w:eastAsia="仿宋_GB2312" w:cs="仿宋_GB2312"/>
          <w:kern w:val="0"/>
          <w:sz w:val="32"/>
          <w:szCs w:val="32"/>
        </w:rPr>
        <w:t>服务项目实施了全过程监督考核，有效保障了项目的实施质量。</w:t>
      </w:r>
    </w:p>
    <w:p>
      <w:pPr>
        <w:tabs>
          <w:tab w:val="left" w:pos="720"/>
        </w:tabs>
        <w:spacing w:before="100" w:beforeAutospacing="1" w:after="100" w:afterAutospacing="1"/>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项目产出情况</w:t>
      </w:r>
      <w:bookmarkEnd w:id="13"/>
    </w:p>
    <w:p>
      <w:pPr>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度，陶然亭街道办事处在中信城禧园中心绿地南北侧房屋油烟管道顶部区域安装油烟净化设备20台，其中禧园南区1号楼12条烟道加装油烟净化设备，禧园北区2号楼8条烟道加装油烟净化设备。项目于2024年8月通过验收，安装设备完成率100%、验收质量达标率为100%，并已正常投入使用，达到项目预期产出目标。</w:t>
      </w:r>
    </w:p>
    <w:p>
      <w:pPr>
        <w:tabs>
          <w:tab w:val="left" w:pos="720"/>
        </w:tabs>
        <w:spacing w:before="100" w:beforeAutospacing="1" w:after="100" w:afterAutospacing="1"/>
        <w:ind w:firstLine="640" w:firstLineChars="200"/>
        <w:outlineLvl w:val="0"/>
        <w:rPr>
          <w:rFonts w:hint="eastAsia" w:ascii="仿宋_GB2312" w:hAnsi="仿宋_GB2312" w:eastAsia="仿宋_GB2312" w:cs="仿宋_GB2312"/>
          <w:sz w:val="32"/>
          <w:szCs w:val="32"/>
        </w:rPr>
      </w:pPr>
      <w:bookmarkStart w:id="14" w:name="_Toc31953"/>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项目效益情况</w:t>
      </w:r>
      <w:bookmarkEnd w:id="14"/>
    </w:p>
    <w:p>
      <w:pPr>
        <w:ind w:left="42" w:leftChars="20"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通过实施居民油烟污染防治项目，开展居民油烟净化改造，有效</w:t>
      </w:r>
      <w:r>
        <w:rPr>
          <w:rFonts w:hint="eastAsia" w:ascii="仿宋_GB2312" w:hAnsi="宋体" w:eastAsia="仿宋_GB2312"/>
          <w:color w:val="000000"/>
          <w:sz w:val="32"/>
          <w:szCs w:val="32"/>
        </w:rPr>
        <w:t>降低居民油烟</w:t>
      </w:r>
      <w:r>
        <w:rPr>
          <w:rFonts w:hint="eastAsia" w:ascii="仿宋_GB2312" w:hAnsi="仿宋_GB2312" w:eastAsia="仿宋_GB2312" w:cs="仿宋_GB2312"/>
          <w:kern w:val="0"/>
          <w:sz w:val="32"/>
          <w:szCs w:val="32"/>
        </w:rPr>
        <w:t>污染排放，</w:t>
      </w:r>
      <w:r>
        <w:rPr>
          <w:rFonts w:hint="eastAsia" w:ascii="仿宋_GB2312" w:hAnsi="仿宋_GB2312" w:eastAsia="仿宋_GB2312" w:cs="仿宋_GB2312"/>
          <w:sz w:val="32"/>
          <w:szCs w:val="32"/>
        </w:rPr>
        <w:t>保障区域内人体健康，</w:t>
      </w:r>
      <w:r>
        <w:rPr>
          <w:rFonts w:hint="eastAsia" w:ascii="仿宋_GB2312" w:hAnsi="仿宋_GB2312" w:eastAsia="仿宋_GB2312" w:cs="仿宋_GB2312"/>
          <w:kern w:val="0"/>
          <w:sz w:val="32"/>
          <w:szCs w:val="32"/>
        </w:rPr>
        <w:t>减少因居民油烟引起的诉求数量，进一步提升油烟治理水平，打造更加宜居宜业的社区环境，改善居民生活条件，增强居民的幸福感。陶然亭街道城管办在2024年年末，针对辖区居民实施了居民油烟污染防治项目满意度调查，满意度高达100.00%，超过了本年度预定的绩效目标。</w:t>
      </w:r>
    </w:p>
    <w:p>
      <w:pPr>
        <w:numPr>
          <w:ilvl w:val="0"/>
          <w:numId w:val="2"/>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numPr>
          <w:ilvl w:val="0"/>
          <w:numId w:val="2"/>
        </w:numPr>
        <w:ind w:firstLine="560" w:firstLineChars="200"/>
        <w:rPr>
          <w:rFonts w:hint="eastAsia" w:ascii="黑体" w:eastAsia="黑体"/>
          <w:sz w:val="28"/>
          <w:szCs w:val="28"/>
          <w:lang w:eastAsia="zh-CN"/>
        </w:rPr>
      </w:pP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（参考提纲详见附件）</w:t>
      </w:r>
    </w:p>
    <w:p>
      <w:pPr>
        <w:spacing w:line="480" w:lineRule="exact"/>
        <w:ind w:firstLine="420" w:firstLineChars="0"/>
        <w:rPr>
          <w:rFonts w:hint="eastAsia" w:ascii="黑体" w:eastAsia="黑体"/>
          <w:sz w:val="28"/>
          <w:szCs w:val="28"/>
        </w:rPr>
      </w:pPr>
      <w:r>
        <w:rPr>
          <w:rFonts w:hint="eastAsia" w:ascii="黑体" w:eastAsia="黑体"/>
          <w:sz w:val="28"/>
          <w:szCs w:val="28"/>
        </w:rPr>
        <w:t xml:space="preserve"> （注：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spacing w:line="480" w:lineRule="exact"/>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E84BE"/>
    <w:multiLevelType w:val="singleLevel"/>
    <w:tmpl w:val="8D7E84BE"/>
    <w:lvl w:ilvl="0" w:tentative="0">
      <w:start w:val="1"/>
      <w:numFmt w:val="chineseCounting"/>
      <w:suff w:val="nothing"/>
      <w:lvlText w:val="%1、"/>
      <w:lvlJc w:val="left"/>
      <w:rPr>
        <w:rFonts w:hint="eastAsia"/>
      </w:rPr>
    </w:lvl>
  </w:abstractNum>
  <w:abstractNum w:abstractNumId="1">
    <w:nsid w:val="4C127361"/>
    <w:multiLevelType w:val="singleLevel"/>
    <w:tmpl w:val="4C12736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5F88"/>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78F"/>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17A14"/>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04C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DC5063"/>
    <w:rsid w:val="02E903CF"/>
    <w:rsid w:val="02F120AB"/>
    <w:rsid w:val="032B5196"/>
    <w:rsid w:val="04C3537C"/>
    <w:rsid w:val="05671D27"/>
    <w:rsid w:val="079004AC"/>
    <w:rsid w:val="09207FBB"/>
    <w:rsid w:val="09906355"/>
    <w:rsid w:val="0A1E0FC7"/>
    <w:rsid w:val="0A9804ED"/>
    <w:rsid w:val="0BA148CA"/>
    <w:rsid w:val="0C1165C4"/>
    <w:rsid w:val="0D6D544B"/>
    <w:rsid w:val="0DD136FE"/>
    <w:rsid w:val="0E371943"/>
    <w:rsid w:val="0F8E2C57"/>
    <w:rsid w:val="1059665E"/>
    <w:rsid w:val="10AC13BA"/>
    <w:rsid w:val="1327382D"/>
    <w:rsid w:val="145A6C1B"/>
    <w:rsid w:val="14B73493"/>
    <w:rsid w:val="16714AA4"/>
    <w:rsid w:val="167A2FF9"/>
    <w:rsid w:val="17415E59"/>
    <w:rsid w:val="18581C69"/>
    <w:rsid w:val="19DE1B0C"/>
    <w:rsid w:val="1AC92B69"/>
    <w:rsid w:val="1AEC0734"/>
    <w:rsid w:val="1C0C301E"/>
    <w:rsid w:val="1CBA0178"/>
    <w:rsid w:val="1DEF20B0"/>
    <w:rsid w:val="214243FA"/>
    <w:rsid w:val="21AD613C"/>
    <w:rsid w:val="22467189"/>
    <w:rsid w:val="230D51C2"/>
    <w:rsid w:val="239F4407"/>
    <w:rsid w:val="257A14F5"/>
    <w:rsid w:val="264C3AA2"/>
    <w:rsid w:val="27196C26"/>
    <w:rsid w:val="29EF086F"/>
    <w:rsid w:val="2A53048D"/>
    <w:rsid w:val="2DE41D3C"/>
    <w:rsid w:val="2EFFE297"/>
    <w:rsid w:val="2F061C5D"/>
    <w:rsid w:val="300B4092"/>
    <w:rsid w:val="301437CA"/>
    <w:rsid w:val="34431EA7"/>
    <w:rsid w:val="349D1F0A"/>
    <w:rsid w:val="34D005B7"/>
    <w:rsid w:val="34DD0473"/>
    <w:rsid w:val="36104FF4"/>
    <w:rsid w:val="36E702BD"/>
    <w:rsid w:val="378E0866"/>
    <w:rsid w:val="39542DE0"/>
    <w:rsid w:val="3C684897"/>
    <w:rsid w:val="3F246661"/>
    <w:rsid w:val="3FC35AFD"/>
    <w:rsid w:val="42462B6D"/>
    <w:rsid w:val="433E495C"/>
    <w:rsid w:val="43C62041"/>
    <w:rsid w:val="44B31D34"/>
    <w:rsid w:val="46F34946"/>
    <w:rsid w:val="48930933"/>
    <w:rsid w:val="489F2FD7"/>
    <w:rsid w:val="48B86F2F"/>
    <w:rsid w:val="48E0657C"/>
    <w:rsid w:val="4AC27CB3"/>
    <w:rsid w:val="4AF05D8D"/>
    <w:rsid w:val="4BD765E4"/>
    <w:rsid w:val="4BF72BEF"/>
    <w:rsid w:val="4DFA027F"/>
    <w:rsid w:val="4E231FB4"/>
    <w:rsid w:val="4FA90297"/>
    <w:rsid w:val="4FC41A43"/>
    <w:rsid w:val="50667DC2"/>
    <w:rsid w:val="51DB3C59"/>
    <w:rsid w:val="522D3402"/>
    <w:rsid w:val="53146DFB"/>
    <w:rsid w:val="53CF72DA"/>
    <w:rsid w:val="54C84296"/>
    <w:rsid w:val="550C0952"/>
    <w:rsid w:val="55762E42"/>
    <w:rsid w:val="57A7B272"/>
    <w:rsid w:val="5816126F"/>
    <w:rsid w:val="58470068"/>
    <w:rsid w:val="58747CAC"/>
    <w:rsid w:val="588968D5"/>
    <w:rsid w:val="59AD6E6A"/>
    <w:rsid w:val="5A1720F9"/>
    <w:rsid w:val="5AD7024B"/>
    <w:rsid w:val="5B9C37C2"/>
    <w:rsid w:val="5BA7C654"/>
    <w:rsid w:val="5CFB2D24"/>
    <w:rsid w:val="5E645193"/>
    <w:rsid w:val="603C78F8"/>
    <w:rsid w:val="60A54109"/>
    <w:rsid w:val="61D01CDF"/>
    <w:rsid w:val="621243C2"/>
    <w:rsid w:val="64C0607C"/>
    <w:rsid w:val="65756C86"/>
    <w:rsid w:val="674C6179"/>
    <w:rsid w:val="674D385B"/>
    <w:rsid w:val="676F09E1"/>
    <w:rsid w:val="67F3078D"/>
    <w:rsid w:val="687D1CAC"/>
    <w:rsid w:val="68CF6B69"/>
    <w:rsid w:val="693C3AD3"/>
    <w:rsid w:val="6BB65DBE"/>
    <w:rsid w:val="6C3D3D22"/>
    <w:rsid w:val="6F8F1A31"/>
    <w:rsid w:val="714653CA"/>
    <w:rsid w:val="715F3318"/>
    <w:rsid w:val="717208B0"/>
    <w:rsid w:val="71793A80"/>
    <w:rsid w:val="72105582"/>
    <w:rsid w:val="72390125"/>
    <w:rsid w:val="7357290B"/>
    <w:rsid w:val="755B0440"/>
    <w:rsid w:val="76280A65"/>
    <w:rsid w:val="78176B3C"/>
    <w:rsid w:val="798524E4"/>
    <w:rsid w:val="7A5709FC"/>
    <w:rsid w:val="7A7F1C49"/>
    <w:rsid w:val="7AAD7831"/>
    <w:rsid w:val="7B5B7AE6"/>
    <w:rsid w:val="7B7B6628"/>
    <w:rsid w:val="7BA7071E"/>
    <w:rsid w:val="7BDF6DA8"/>
    <w:rsid w:val="7C7EDC1A"/>
    <w:rsid w:val="7CCED98D"/>
    <w:rsid w:val="7CF16C56"/>
    <w:rsid w:val="7D08410F"/>
    <w:rsid w:val="7DB96DED"/>
    <w:rsid w:val="7DD3AD81"/>
    <w:rsid w:val="7E7E4488"/>
    <w:rsid w:val="7E9A74C3"/>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23197</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6636.08</c:v>
                </c:pt>
                <c:pt idx="1">
                  <c:v>16560.91</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3453</Words>
  <Characters>4008</Characters>
  <Lines>44</Lines>
  <Paragraphs>12</Paragraphs>
  <TotalTime>43</TotalTime>
  <ScaleCrop>false</ScaleCrop>
  <LinksUpToDate>false</LinksUpToDate>
  <CharactersWithSpaces>4029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车蕾</cp:lastModifiedBy>
  <cp:lastPrinted>2025-08-28T01:41:00Z</cp:lastPrinted>
  <dcterms:modified xsi:type="dcterms:W3CDTF">2025-08-28T06:07:55Z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435078ACFECC4A5A8A519EF4C3681114_13</vt:lpwstr>
  </property>
  <property fmtid="{D5CDD505-2E9C-101B-9397-08002B2CF9AE}" pid="4" name="KSOTemplateDocerSaveRecord">
    <vt:lpwstr>eyJoZGlkIjoiNjhkNDgwNzIzNDcwZmRhZjJkZWE3Yzk5OGIzNzFjMTYiLCJ1c2VySWQiOiI0MDM4NDM2OTgifQ==</vt:lpwstr>
  </property>
</Properties>
</file>