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36"/>
        <w:gridCol w:w="774"/>
        <w:gridCol w:w="1114"/>
        <w:gridCol w:w="279"/>
        <w:gridCol w:w="839"/>
        <w:gridCol w:w="837"/>
        <w:gridCol w:w="277"/>
        <w:gridCol w:w="517"/>
        <w:gridCol w:w="109"/>
        <w:gridCol w:w="628"/>
        <w:gridCol w:w="27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无保障人员丧葬费及抚恤金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26.67％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9.5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根据根据京民殡发【2009】143号、107号等相关文件要求，为辖区内无保障人员发放丧葬补贴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根据根据京民殡发【2009】143号、107号等相关文件要求，为辖区内无保障人员发放丧葬补贴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指标1：实际发生申请人数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  <w:t>4人次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  <w:t>4人次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指标1：根据根据京民殡发【2009】143号、107号等相关文件要求，为辖区内无保障人员发放丧葬补贴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即有即发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≤9.5万元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指标1：惠民政策，实施好，保稳定、促和谐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92.67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51F19"/>
    <w:rsid w:val="2BB51F19"/>
    <w:rsid w:val="2DF942A4"/>
    <w:rsid w:val="626F7705"/>
    <w:rsid w:val="79D8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545</Characters>
  <Lines>0</Lines>
  <Paragraphs>0</Paragraphs>
  <TotalTime>3</TotalTime>
  <ScaleCrop>false</ScaleCrop>
  <LinksUpToDate>false</LinksUpToDate>
  <CharactersWithSpaces>557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2025-04-18T02:57:00Z</dcterms:created>
  <dc:creator>若木神音</dc:creator>
  <cp:lastModifiedBy>车蕾</cp:lastModifiedBy>
  <dcterms:modified xsi:type="dcterms:W3CDTF">2025-08-28T02:20:03Z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6E04981730264848AAC996CAB7D97356_11</vt:lpwstr>
  </property>
  <property fmtid="{D5CDD505-2E9C-101B-9397-08002B2CF9AE}" pid="4" name="KSOTemplateDocerSaveRecord">
    <vt:lpwstr>eyJoZGlkIjoiODMwN2JhN2FmMDIyYTk3MWE2MzdiOGEyNTkzODg4ODciLCJ1c2VySWQiOiIzNDgzODA3MzYifQ==</vt:lpwstr>
  </property>
</Properties>
</file>