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法律服务费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27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24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24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27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24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24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auto"/>
                <w:spacing w:val="0"/>
                <w:sz w:val="18"/>
                <w:szCs w:val="18"/>
                <w:highlight w:val="none"/>
                <w:shd w:val="clear" w:fill="FFFFFF"/>
              </w:rPr>
              <w:t>按照西政办发【2020】9号文件要求，加强街道依法行政工作，提高街道机关干部法制意识，提升依法行政能力，聘请街道法律顾问提供法律咨询服务和诉讼代理服务；另按照区司法局西司发【2020】5号文件要求，全面落实社区法律顾问制度,便于社区法律顾问工作开展和经费管理，从2020年度开始，将社区法律顾问补贴经费按每个社区8000元/年的标准，纳入各街道办事处年度经费预算予以保障，每年由街道司法所根据本街道社区数量编制预算，并负责聘请律师担任社区法律顾问，以便更好的调动各签约律师的积极性，确保社区法律服务扎实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有效地加强了街道依法行政工作，提高了街道机关干部法制意识，提升了依法行政能力；按照区司法局全面落实社区法律顾问制度工作要求，开展社区法律顾问工作,加强经费管理，在辖区扎实开展社区法律服务，积极推进法治陶然建设，提升了辖区居民法律素质和法治化管理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各类法律服务次数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1700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问题解决率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项目周期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全年预算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246,000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</w:rPr>
              <w:t>246,000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.11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确保街道及社区法律顾问服务扎实开展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群众及街道工作人员满意度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134463B"/>
    <w:rsid w:val="159E69E1"/>
    <w:rsid w:val="1E311C81"/>
    <w:rsid w:val="39D001E5"/>
    <w:rsid w:val="3A944EA6"/>
    <w:rsid w:val="434F4999"/>
    <w:rsid w:val="47572902"/>
    <w:rsid w:val="4AE4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659</Words>
  <Characters>749</Characters>
  <Lines>8</Lines>
  <Paragraphs>2</Paragraphs>
  <TotalTime>10</TotalTime>
  <ScaleCrop>false</ScaleCrop>
  <LinksUpToDate>false</LinksUpToDate>
  <CharactersWithSpaces>761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2025-08-27T09:15:32Z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eyJoZGlkIjoiNzkyODI2ZjM0YmE4ZWYzMzQwZTM1NjAwNmFlNjk0MDIiLCJ1c2VySWQiOiI1OTk1OTcwNDYifQ==</vt:lpwstr>
  </property>
  <property fmtid="{D5CDD505-2E9C-101B-9397-08002B2CF9AE}" pid="4" name="ICV">
    <vt:lpwstr>17402766AEFD4C409D1CAB8B7B79BE0B_13</vt:lpwstr>
  </property>
</Properties>
</file>