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仿宋_GB2312" w:hAnsi="Times New Roman" w:eastAsia="仿宋_GB2312" w:cs="Times New Roman"/>
          <w:b/>
          <w:sz w:val="32"/>
          <w:szCs w:val="32"/>
        </w:rPr>
      </w:pPr>
    </w:p>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79"/>
        <w:gridCol w:w="901"/>
        <w:gridCol w:w="915"/>
        <w:gridCol w:w="137"/>
        <w:gridCol w:w="358"/>
        <w:gridCol w:w="338"/>
        <w:gridCol w:w="443"/>
        <w:gridCol w:w="393"/>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202</w:t>
            </w:r>
            <w:r>
              <w:rPr>
                <w:rFonts w:hint="eastAsia" w:ascii="宋体" w:hAnsi="宋体" w:eastAsia="宋体" w:cs="宋体"/>
                <w:kern w:val="0"/>
                <w:sz w:val="22"/>
                <w:szCs w:val="24"/>
                <w:lang w:val="en-US" w:eastAsia="zh-CN"/>
              </w:rPr>
              <w:t>4</w:t>
            </w:r>
            <w:r>
              <w:rPr>
                <w:rFonts w:hint="eastAsia" w:ascii="宋体" w:hAnsi="宋体" w:eastAsia="宋体" w:cs="宋体"/>
                <w:kern w:val="0"/>
                <w:sz w:val="22"/>
                <w:szCs w:val="24"/>
              </w:rPr>
              <w:t xml:space="preserve">  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人大代表补选经费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bookmarkEnd w:id="0"/>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386"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3.09749</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3.09749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28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74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6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按照《北京市西城区人民代表大会常务委员会关于补选区第十七届人民代表大会代表的工作方案》（京西常发〔2023〕29号）要求，陶然亭街道米市大吉巷选区补选1名区十七届人民代表大会代表，申请经费主要用于此次补选工作，经费专款专用，切实保障此次补选工作有序进行。</w:t>
            </w:r>
          </w:p>
        </w:tc>
        <w:tc>
          <w:tcPr>
            <w:tcW w:w="328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按照《北京市西城区人民代表大会常务委员会关于补选区第十七届人民代表大会代表的工作方案》（京西常发〔2023〕29号）要求，陶然亭街道米市大吉巷选区补选1名区十七届人民代表大会代表，申请经费主要用于此次补选工作，经费专款专用，切实保障此次补选工作有序进行。</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86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补选人大代表数量</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资金执行率</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补选人大代表时间</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本年度</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本年度</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指标1：预算控制数</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3.09749万元</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3.09749万元</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9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主要用于满足米市大吉巷选区2023年补选工作的需要，做好选区办公用品的配备；公告的印制；选民参加选举投票的宣传、动员和后勤保障工作等，经费使用厉行节约，杜绝铺张浪费，切实保障此次补选工作有序进行。</w:t>
            </w:r>
          </w:p>
        </w:tc>
        <w:tc>
          <w:tcPr>
            <w:tcW w:w="9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切实保障</w:t>
            </w:r>
          </w:p>
        </w:tc>
        <w:tc>
          <w:tcPr>
            <w:tcW w:w="91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切实保障</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居民</w:t>
            </w:r>
            <w:r>
              <w:rPr>
                <w:rFonts w:hint="eastAsia" w:ascii="宋体" w:hAnsi="宋体" w:eastAsia="宋体" w:cs="宋体"/>
                <w:color w:val="000000"/>
                <w:kern w:val="0"/>
                <w:sz w:val="18"/>
                <w:szCs w:val="18"/>
                <w:lang w:eastAsia="zh-CN"/>
              </w:rPr>
              <w:t>满意度</w:t>
            </w:r>
          </w:p>
        </w:tc>
        <w:tc>
          <w:tcPr>
            <w:tcW w:w="9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9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≥90%</w:t>
            </w:r>
          </w:p>
        </w:tc>
        <w:tc>
          <w:tcPr>
            <w:tcW w:w="4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56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4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0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60E"/>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0F0D"/>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5EC3906"/>
    <w:rsid w:val="10FB289A"/>
    <w:rsid w:val="1527533E"/>
    <w:rsid w:val="1B6C5298"/>
    <w:rsid w:val="1B907A2A"/>
    <w:rsid w:val="1BD357A5"/>
    <w:rsid w:val="1E7C55C7"/>
    <w:rsid w:val="2DDF55DD"/>
    <w:rsid w:val="2F7602D6"/>
    <w:rsid w:val="322A36B0"/>
    <w:rsid w:val="32F56BBD"/>
    <w:rsid w:val="521D3C4C"/>
    <w:rsid w:val="527D2F9E"/>
    <w:rsid w:val="53E54780"/>
    <w:rsid w:val="61C80880"/>
    <w:rsid w:val="647D686E"/>
    <w:rsid w:val="64E81858"/>
    <w:rsid w:val="68437CBD"/>
    <w:rsid w:val="6D02696A"/>
    <w:rsid w:val="75F67543"/>
    <w:rsid w:val="7D162585"/>
    <w:rsid w:val="7FC3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666</Words>
  <Characters>740</Characters>
  <Lines>4</Lines>
  <Paragraphs>1</Paragraphs>
  <TotalTime>1</TotalTime>
  <ScaleCrop>false</ScaleCrop>
  <LinksUpToDate>false</LinksUpToDate>
  <CharactersWithSpaces>752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阿白</cp:lastModifiedBy>
  <dcterms:modified xsi:type="dcterms:W3CDTF">2025-08-27T09:22:08Z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eyJoZGlkIjoiZTNiMmJjMGUyMDNhMGI0MjllZTc4OTE3ODRjOTBjMWQiLCJ1c2VySWQiOiIyNDA2ODM1MTAifQ==</vt:lpwstr>
  </property>
  <property fmtid="{D5CDD505-2E9C-101B-9397-08002B2CF9AE}" pid="4" name="ICV">
    <vt:lpwstr>C9306EDFCF184EE29E1819E36BBF9820_12</vt:lpwstr>
  </property>
</Properties>
</file>