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32"/>
        <w:gridCol w:w="98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司法工作经费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司法所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666456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666456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按照市区司法局要求，确保司法所用房标准达到120平方米；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加强司法所基础设施建设,维持街道司法所正常办公，为做好街道地区法治建设工作，落实好市、区、街道各项工作要求，以及重点任务、中心工作，提供办公保障，实施正常工作运转。"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已按照市区司法局要求，加强司法所基础设施建设，完成“一站式”公共法律服务站的打造，普法短片“郝大爷学法记”获得北京市法治微电影微动漫微视频作品一等奖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法律宣传、法律服务、人民调解、法治培训等各项司法工作开展次数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完成区司法局下发各项考核指标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＞95%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项目实施周期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小于等于21万元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追加资金201000元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确保司法工作扎实开展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扎实开展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扎实开展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群众及街道工作人员满意度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FC7A3B"/>
    <w:rsid w:val="20E06A7D"/>
    <w:rsid w:val="2FCA2A52"/>
    <w:rsid w:val="3C350033"/>
    <w:rsid w:val="47572902"/>
    <w:rsid w:val="51A1316A"/>
    <w:rsid w:val="7175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600</Words>
  <Characters>715</Characters>
  <Lines>8</Lines>
  <Paragraphs>2</Paragraphs>
  <TotalTime>5</TotalTime>
  <ScaleCrop>false</ScaleCrop>
  <LinksUpToDate>false</LinksUpToDate>
  <CharactersWithSpaces>733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2025-08-27T03:24:13Z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eyJoZGlkIjoiMTVlMTEwYzQyOThhMDNmZjM2MDk2NDA0ZjkwZjA3MmUiLCJ1c2VySWQiOiIyMTEwNTAxNzMifQ==</vt:lpwstr>
  </property>
  <property fmtid="{D5CDD505-2E9C-101B-9397-08002B2CF9AE}" pid="4" name="ICV">
    <vt:lpwstr>D9861B41DBE34BF3B6131C64B785D6CF_13</vt:lpwstr>
  </property>
</Properties>
</file>