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82"/>
        <w:gridCol w:w="1173"/>
        <w:gridCol w:w="670"/>
        <w:gridCol w:w="1162"/>
        <w:gridCol w:w="279"/>
        <w:gridCol w:w="839"/>
        <w:gridCol w:w="837"/>
        <w:gridCol w:w="395"/>
        <w:gridCol w:w="162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after="0"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6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11010224T000002966567-和谐劳动关系创建经费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北京市西城区陶然亭街道办事处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2" w:name="_GoBack"/>
            <w:bookmarkEnd w:id="2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3.4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3.382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99.47%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3.4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3.382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99.47%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为了促进企业创建和谐的劳动关系,根据上级工作要求和进度,劳动科每年开展地区和谐劳动关系评比,并进行适当奖励,然后根据区里安排,推荐优秀企业参加全区评比表彰。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根据上级工作要求和进度,劳动科每年开展地区和谐劳动关系评比,并进行适当奖励,然后根据区里安排,推荐优秀企业参加全区评比表彰。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OLE_LINK1" w:colFirst="3" w:colLast="8"/>
            <w:bookmarkStart w:id="1" w:name="_Hlk196221803"/>
          </w:p>
        </w:tc>
        <w:tc>
          <w:tcPr>
            <w:tcW w:w="8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年内完成2次以上法律法规培训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≥2次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bookmarkEnd w:id="0"/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高质量完成年度法律法规宣传及培训任务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高质量完成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高质量完成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按照计划年度内完成各项费用支出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按计划支出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按计划支出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按照财务预算执行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≤3.4万元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3.382万元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确保各项经费按照财务规定及上级部门工作安排，用足用尽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完成上级安排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完成上级安排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after="0"/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after="0"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4187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520C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49A3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35E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3C2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4A3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873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6D45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4A18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B7D93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277E30B8"/>
    <w:rsid w:val="3FCC633C"/>
    <w:rsid w:val="47572902"/>
    <w:rsid w:val="71544880"/>
    <w:rsid w:val="7974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435</Characters>
  <Lines>145</Lines>
  <Paragraphs>131</Paragraphs>
  <TotalTime>11</TotalTime>
  <ScaleCrop>false</ScaleCrop>
  <LinksUpToDate>false</LinksUpToDate>
  <CharactersWithSpaces>657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阿白</cp:lastModifiedBy>
  <dcterms:modified xsi:type="dcterms:W3CDTF">2025-08-27T09:13:36Z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