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京财社指[2023]1717号2023年中央财政优抚对象补助经费(第三批)(直达资金)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民生办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20.000000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20.000000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20.000000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20.000000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每月发放优抚对象补助金及抚恤金，节日发放慰问金或慰问品。对符合发放标准的人员及时发放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能够保证优抚对象生活水平不受影响，促进社会和谐。有效落实军人优抚优待条例。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每月发放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按时发放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9D6F3B"/>
    <w:rsid w:val="09EC2923"/>
    <w:rsid w:val="0AE77F9E"/>
    <w:rsid w:val="10BF74FC"/>
    <w:rsid w:val="116B4BC3"/>
    <w:rsid w:val="117645E7"/>
    <w:rsid w:val="1AF14BBE"/>
    <w:rsid w:val="226651E3"/>
    <w:rsid w:val="27550B7D"/>
    <w:rsid w:val="2B6331C1"/>
    <w:rsid w:val="2EC643DB"/>
    <w:rsid w:val="32536B23"/>
    <w:rsid w:val="3A8A1777"/>
    <w:rsid w:val="58B23B31"/>
    <w:rsid w:val="5A640111"/>
    <w:rsid w:val="5D865962"/>
    <w:rsid w:val="5F137D37"/>
    <w:rsid w:val="600E7226"/>
    <w:rsid w:val="67B644BF"/>
    <w:rsid w:val="69456C44"/>
    <w:rsid w:val="6B5D517D"/>
    <w:rsid w:val="6D2D441D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  <w:style w:type="character" w:customStyle="1" w:styleId="11">
    <w:name w:val="innerdata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1205</Words>
  <Characters>1297</Characters>
  <Lines>8</Lines>
  <Paragraphs>2</Paragraphs>
  <TotalTime>2</TotalTime>
  <ScaleCrop>false</ScaleCrop>
  <LinksUpToDate>false</LinksUpToDate>
  <CharactersWithSpaces>1308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2025-08-26T01:23:22Z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eyJoZGlkIjoiZTNiMmJjMGUyMDNhMGI0MjllZTc4OTE3ODRjOTBjMWQiLCJ1c2VySWQiOiIyNDA2ODM1MTAifQ==</vt:lpwstr>
  </property>
  <property fmtid="{D5CDD505-2E9C-101B-9397-08002B2CF9AE}" pid="4" name="ICV">
    <vt:lpwstr>FE1264492147458084A39A4CE0FBC044_12</vt:lpwstr>
  </property>
</Properties>
</file>