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highlight w:val="none"/>
              </w:rPr>
            </w:pPr>
            <w:r>
              <w:rPr>
                <w:rFonts w:hint="eastAsia" w:ascii="宋体" w:hAnsi="宋体" w:eastAsia="宋体" w:cs="宋体"/>
                <w:kern w:val="0"/>
                <w:sz w:val="22"/>
                <w:szCs w:val="24"/>
                <w:highlight w:val="none"/>
              </w:rPr>
              <w:t xml:space="preserve">（  </w:t>
            </w:r>
            <w:r>
              <w:rPr>
                <w:rFonts w:hint="eastAsia" w:ascii="宋体" w:hAnsi="宋体" w:eastAsia="宋体" w:cs="宋体"/>
                <w:kern w:val="0"/>
                <w:sz w:val="22"/>
                <w:szCs w:val="24"/>
                <w:highlight w:val="none"/>
                <w:lang w:val="en-US" w:eastAsia="zh-CN"/>
              </w:rPr>
              <w:t>2024</w:t>
            </w:r>
            <w:r>
              <w:rPr>
                <w:rFonts w:hint="eastAsia" w:ascii="宋体" w:hAnsi="宋体" w:eastAsia="宋体" w:cs="宋体"/>
                <w:kern w:val="0"/>
                <w:sz w:val="22"/>
                <w:szCs w:val="24"/>
                <w:highlight w:val="none"/>
              </w:rPr>
              <w:t xml:space="preserve">  年度）</w:t>
            </w:r>
          </w:p>
        </w:tc>
      </w:tr>
      <w:tr>
        <w:tblPrEx>
          <w:tblCellMar>
            <w:top w:w="0" w:type="dxa"/>
            <w:left w:w="108" w:type="dxa"/>
            <w:bottom w:w="0" w:type="dxa"/>
            <w:right w:w="108" w:type="dxa"/>
          </w:tblCellMar>
        </w:tblPrEx>
        <w:trPr>
          <w:trHeight w:val="61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项目名称</w:t>
            </w: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eastAsia="zh-CN"/>
              </w:rPr>
              <w:t>一级项目名称</w:t>
            </w:r>
            <w:r>
              <w:rPr>
                <w:rFonts w:hint="eastAsia" w:ascii="宋体" w:hAnsi="宋体" w:eastAsia="宋体" w:cs="宋体"/>
                <w:kern w:val="0"/>
                <w:sz w:val="18"/>
                <w:szCs w:val="18"/>
                <w:highlight w:val="none"/>
                <w:lang w:eastAsia="zh-CN"/>
              </w:rPr>
              <w:t>）</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color w:val="000000"/>
                <w:sz w:val="18"/>
                <w:szCs w:val="18"/>
                <w:highlight w:val="none"/>
              </w:rPr>
              <w:t>住房保障工作经费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西长安街街道</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民生办</w:t>
            </w:r>
          </w:p>
        </w:tc>
      </w:tr>
      <w:tr>
        <w:tblPrEx>
          <w:tblCellMar>
            <w:top w:w="0" w:type="dxa"/>
            <w:left w:w="108" w:type="dxa"/>
            <w:bottom w:w="0" w:type="dxa"/>
            <w:right w:w="108" w:type="dxa"/>
          </w:tblCellMar>
        </w:tblPrEx>
        <w:trPr>
          <w:trHeight w:val="706"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项目资金</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全年预算数</w:t>
            </w: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eastAsia="zh-CN"/>
              </w:rPr>
              <w:t>调增调减后</w:t>
            </w:r>
            <w:r>
              <w:rPr>
                <w:rFonts w:hint="eastAsia" w:ascii="宋体" w:hAnsi="宋体" w:eastAsia="宋体" w:cs="宋体"/>
                <w:kern w:val="0"/>
                <w:sz w:val="18"/>
                <w:szCs w:val="18"/>
                <w:highlight w:val="none"/>
                <w:lang w:eastAsia="zh-CN"/>
              </w:rPr>
              <w:t>）</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得分</w:t>
            </w:r>
          </w:p>
        </w:tc>
      </w:tr>
      <w:tr>
        <w:tblPrEx>
          <w:tblCellMar>
            <w:top w:w="0" w:type="dxa"/>
            <w:left w:w="108" w:type="dxa"/>
            <w:bottom w:w="0" w:type="dxa"/>
            <w:right w:w="108" w:type="dxa"/>
          </w:tblCellMar>
        </w:tblPrEx>
        <w:trPr>
          <w:trHeight w:val="674"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年度资金总额</w:t>
            </w:r>
          </w:p>
        </w:tc>
        <w:tc>
          <w:tcPr>
            <w:tcW w:w="1114" w:type="dxa"/>
            <w:tcBorders>
              <w:top w:val="nil"/>
              <w:left w:val="nil"/>
              <w:bottom w:val="single" w:color="auto" w:sz="4" w:space="0"/>
              <w:right w:val="single" w:color="auto" w:sz="4" w:space="0"/>
            </w:tcBorders>
            <w:vAlign w:val="center"/>
          </w:tcPr>
          <w:p>
            <w:pPr>
              <w:widowControl/>
              <w:tabs>
                <w:tab w:val="left" w:pos="228"/>
              </w:tabs>
              <w:spacing w:line="240" w:lineRule="exact"/>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0.950000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0.</w:t>
            </w:r>
            <w:r>
              <w:rPr>
                <w:rFonts w:hint="eastAsia" w:ascii="宋体" w:hAnsi="宋体" w:eastAsia="宋体" w:cs="宋体"/>
                <w:kern w:val="0"/>
                <w:sz w:val="18"/>
                <w:szCs w:val="18"/>
                <w:highlight w:val="none"/>
              </w:rPr>
              <w:t>8596</w:t>
            </w:r>
            <w:r>
              <w:rPr>
                <w:rFonts w:hint="eastAsia" w:ascii="宋体" w:hAnsi="宋体" w:eastAsia="宋体" w:cs="宋体"/>
                <w:kern w:val="0"/>
                <w:sz w:val="18"/>
                <w:szCs w:val="18"/>
                <w:highlight w:val="none"/>
                <w:lang w:val="en-US" w:eastAsia="zh-CN"/>
              </w:rPr>
              <w:t>00</w:t>
            </w:r>
          </w:p>
        </w:tc>
        <w:tc>
          <w:tcPr>
            <w:tcW w:w="1114" w:type="dxa"/>
            <w:gridSpan w:val="2"/>
            <w:tcBorders>
              <w:top w:val="nil"/>
              <w:left w:val="nil"/>
              <w:bottom w:val="single" w:color="auto" w:sz="4" w:space="0"/>
              <w:right w:val="single" w:color="auto" w:sz="4" w:space="0"/>
            </w:tcBorders>
            <w:vAlign w:val="center"/>
          </w:tcPr>
          <w:p>
            <w:pPr>
              <w:widowControl/>
              <w:tabs>
                <w:tab w:val="left" w:pos="321"/>
              </w:tabs>
              <w:spacing w:line="240" w:lineRule="exact"/>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0.</w:t>
            </w:r>
            <w:r>
              <w:rPr>
                <w:rFonts w:hint="eastAsia" w:ascii="宋体" w:hAnsi="宋体" w:eastAsia="宋体" w:cs="宋体"/>
                <w:kern w:val="0"/>
                <w:sz w:val="18"/>
                <w:szCs w:val="18"/>
                <w:highlight w:val="none"/>
                <w:lang w:eastAsia="zh-CN"/>
              </w:rPr>
              <w:t>85712</w:t>
            </w:r>
            <w:r>
              <w:rPr>
                <w:rFonts w:hint="eastAsia" w:ascii="宋体" w:hAnsi="宋体" w:eastAsia="宋体" w:cs="宋体"/>
                <w:kern w:val="0"/>
                <w:sz w:val="18"/>
                <w:szCs w:val="18"/>
                <w:highlight w:val="none"/>
                <w:lang w:val="en-US" w:eastAsia="zh-CN"/>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99.71%</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0.950000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396"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实际完成情况</w:t>
            </w:r>
          </w:p>
        </w:tc>
      </w:tr>
      <w:tr>
        <w:tblPrEx>
          <w:tblCellMar>
            <w:top w:w="0" w:type="dxa"/>
            <w:left w:w="108" w:type="dxa"/>
            <w:bottom w:w="0" w:type="dxa"/>
            <w:right w:w="108" w:type="dxa"/>
          </w:tblCellMar>
        </w:tblPrEx>
        <w:trPr>
          <w:trHeight w:val="2403"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住房保障事务费包含保障性住房法律、法规、政策宣传、培训、办公经费。按照街道办事处总体工作部署，根据区房管局的工作安排，开展住房保障法律、法规、政策宣传。包括：每月根据系统通过的市场租房补贴家庭短信通知其来大厅办理领取手续，市场补贴家庭租房合同到期前1个月通知其办理续租手续，每月通知资格复核家庭到社区上报复核材料，按照上级通知有房源时通知符合条件的家庭进行网上意向登记等。2.邮寄告知书发快递。3.开展社区住房保障业务培训会及接待居民用水。4.制作宣传品。</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rPr>
              <w:t>开展住房保障法律、法规、政策宣传。包括：1.发送短信费用：共计6000元。</w:t>
            </w:r>
            <w:r>
              <w:rPr>
                <w:rFonts w:hint="eastAsia" w:ascii="宋体" w:hAnsi="宋体" w:eastAsia="宋体" w:cs="宋体"/>
                <w:kern w:val="0"/>
                <w:sz w:val="18"/>
                <w:szCs w:val="18"/>
                <w:highlight w:val="none"/>
                <w:lang w:val="en-US" w:eastAsia="zh-CN"/>
              </w:rPr>
              <w:t xml:space="preserve">补发超出合同费用1355.4元。2.开展四次社区培训会，购买两次会议用水。3.邮寄告知书。                                                                                                                                                                                                                                                                                                                                                                                                                                                 </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绩</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效</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指</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标</w:t>
            </w:r>
          </w:p>
          <w:p>
            <w:pPr>
              <w:widowControl/>
              <w:spacing w:line="240" w:lineRule="exact"/>
              <w:jc w:val="both"/>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eastAsia="zh-CN"/>
              </w:rPr>
              <w:t>总分应为</w:t>
            </w:r>
            <w:r>
              <w:rPr>
                <w:rFonts w:hint="eastAsia" w:ascii="宋体" w:hAnsi="宋体" w:eastAsia="宋体" w:cs="宋体"/>
                <w:kern w:val="0"/>
                <w:sz w:val="18"/>
                <w:szCs w:val="18"/>
                <w:highlight w:val="none"/>
                <w:lang w:val="en-US" w:eastAsia="zh-CN"/>
              </w:rPr>
              <w:t>90分</w:t>
            </w:r>
            <w:r>
              <w:rPr>
                <w:rFonts w:hint="eastAsia" w:ascii="宋体" w:hAnsi="宋体" w:eastAsia="宋体" w:cs="宋体"/>
                <w:kern w:val="0"/>
                <w:sz w:val="18"/>
                <w:szCs w:val="18"/>
                <w:highlight w:val="none"/>
                <w:lang w:eastAsia="zh-CN"/>
              </w:rPr>
              <w:t>）</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实际</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指标1：</w:t>
            </w:r>
            <w:r>
              <w:rPr>
                <w:rFonts w:hint="eastAsia" w:ascii="宋体" w:hAnsi="宋体" w:eastAsia="宋体" w:cs="宋体"/>
                <w:color w:val="000000"/>
                <w:kern w:val="0"/>
                <w:sz w:val="18"/>
                <w:szCs w:val="18"/>
                <w:highlight w:val="none"/>
                <w:lang w:val="en-US" w:eastAsia="zh-CN"/>
              </w:rPr>
              <w:t>12个月短信费</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 xml:space="preserve">12个月    </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12个月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指标2：</w:t>
            </w:r>
            <w:r>
              <w:rPr>
                <w:rFonts w:hint="eastAsia" w:ascii="宋体" w:hAnsi="宋体" w:eastAsia="宋体" w:cs="宋体"/>
                <w:color w:val="000000"/>
                <w:kern w:val="0"/>
                <w:sz w:val="18"/>
                <w:szCs w:val="18"/>
                <w:highlight w:val="none"/>
                <w:lang w:val="en-US" w:eastAsia="zh-CN"/>
              </w:rPr>
              <w:t>召开四次业务培训会</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4次</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指标1：</w:t>
            </w:r>
            <w:r>
              <w:rPr>
                <w:rFonts w:hint="eastAsia" w:ascii="宋体" w:hAnsi="宋体" w:eastAsia="宋体" w:cs="宋体"/>
                <w:color w:val="000000"/>
                <w:kern w:val="0"/>
                <w:sz w:val="18"/>
                <w:szCs w:val="18"/>
                <w:highlight w:val="none"/>
                <w:lang w:val="en-US" w:eastAsia="zh-CN"/>
              </w:rPr>
              <w:t>及时使用短信通知居民办理手续</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color w:val="000000"/>
                <w:kern w:val="0"/>
                <w:sz w:val="18"/>
                <w:szCs w:val="18"/>
                <w:highlight w:val="none"/>
                <w:lang w:val="en-US" w:eastAsia="zh-CN"/>
              </w:rPr>
              <w:t>及时使用短信通知居民办理手续</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b/>
                <w:bCs/>
                <w:kern w:val="0"/>
                <w:sz w:val="18"/>
                <w:szCs w:val="18"/>
                <w:highlight w:val="none"/>
              </w:rPr>
            </w:pPr>
            <w:r>
              <w:rPr>
                <w:rFonts w:hint="eastAsia" w:ascii="宋体" w:hAnsi="宋体" w:eastAsia="宋体" w:cs="宋体"/>
                <w:color w:val="000000"/>
                <w:kern w:val="0"/>
                <w:sz w:val="18"/>
                <w:szCs w:val="18"/>
                <w:highlight w:val="none"/>
                <w:lang w:val="en-US" w:eastAsia="zh-CN"/>
              </w:rPr>
              <w:t>及时使用短信通知居民办理手续</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 xml:space="preserve"> </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经济效益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社会效益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指标1：落实保障房政策</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11个社区</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11个社区</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生态效益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满意度</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w:t>
            </w:r>
            <w:r>
              <w:rPr>
                <w:rFonts w:hint="eastAsia" w:ascii="宋体" w:hAnsi="宋体" w:eastAsia="宋体" w:cs="宋体"/>
                <w:color w:val="000000"/>
                <w:kern w:val="0"/>
                <w:sz w:val="18"/>
                <w:szCs w:val="18"/>
                <w:highlight w:val="none"/>
                <w:lang w:val="en-US" w:eastAsia="zh-CN"/>
              </w:rPr>
              <w:t>90%以上居民满意</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90%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90%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20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总分</w:t>
            </w:r>
            <w:r>
              <w:rPr>
                <w:rFonts w:hint="eastAsia" w:ascii="宋体" w:hAnsi="宋体" w:eastAsia="宋体" w:cs="宋体"/>
                <w:color w:val="000000"/>
                <w:kern w:val="0"/>
                <w:sz w:val="18"/>
                <w:szCs w:val="18"/>
                <w:highlight w:val="none"/>
                <w:lang w:eastAsia="zh-CN"/>
              </w:rPr>
              <w:t>（</w:t>
            </w:r>
            <w:r>
              <w:rPr>
                <w:rFonts w:hint="eastAsia" w:ascii="宋体" w:hAnsi="宋体" w:eastAsia="宋体" w:cs="宋体"/>
                <w:color w:val="000000"/>
                <w:kern w:val="0"/>
                <w:sz w:val="18"/>
                <w:szCs w:val="18"/>
                <w:highlight w:val="none"/>
                <w:lang w:eastAsia="zh-CN"/>
              </w:rPr>
              <w:t>含预算执行的总计</w:t>
            </w:r>
            <w:r>
              <w:rPr>
                <w:rFonts w:hint="eastAsia" w:ascii="宋体" w:hAnsi="宋体" w:eastAsia="宋体" w:cs="宋体"/>
                <w:color w:val="000000"/>
                <w:kern w:val="0"/>
                <w:sz w:val="18"/>
                <w:szCs w:val="18"/>
                <w:highlight w:val="none"/>
                <w:lang w:val="en-US" w:eastAsia="zh-CN"/>
              </w:rPr>
              <w:t>10分，按实际得分计算</w:t>
            </w:r>
            <w:r>
              <w:rPr>
                <w:rFonts w:hint="eastAsia" w:ascii="宋体" w:hAnsi="宋体" w:eastAsia="宋体" w:cs="宋体"/>
                <w:color w:val="000000"/>
                <w:kern w:val="0"/>
                <w:sz w:val="18"/>
                <w:szCs w:val="18"/>
                <w:highlight w:val="none"/>
                <w:lang w:eastAsia="zh-CN"/>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bl>
    <w:p>
      <w:pPr>
        <w:ind w:firstLine="420" w:firstLineChars="200"/>
        <w:rPr>
          <w:rFonts w:hint="eastAsia" w:ascii="黑体" w:hAnsi="黑体" w:eastAsia="黑体" w:cs="Times New Roman"/>
          <w:szCs w:val="24"/>
          <w:lang w:eastAsia="zh-CN"/>
        </w:rPr>
      </w:pPr>
    </w:p>
    <w:p>
      <w:pPr>
        <w:ind w:firstLine="442" w:firstLineChars="200"/>
        <w:rPr>
          <w:rFonts w:hint="eastAsia" w:ascii="宋体" w:hAnsi="宋体" w:eastAsia="宋体" w:cs="宋体"/>
          <w:b/>
          <w:color w:val="000000"/>
          <w:kern w:val="0"/>
          <w:sz w:val="22"/>
          <w:szCs w:val="24"/>
          <w:lang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10BF74FC"/>
    <w:rsid w:val="1AF14BBE"/>
    <w:rsid w:val="226651E3"/>
    <w:rsid w:val="27550B7D"/>
    <w:rsid w:val="2B6331C1"/>
    <w:rsid w:val="2EC643DB"/>
    <w:rsid w:val="31B8615C"/>
    <w:rsid w:val="32536B23"/>
    <w:rsid w:val="3A8A1777"/>
    <w:rsid w:val="5A640111"/>
    <w:rsid w:val="5F137D37"/>
    <w:rsid w:val="6B401EFE"/>
    <w:rsid w:val="748048A2"/>
    <w:rsid w:val="74F512A8"/>
    <w:rsid w:val="7C264B7C"/>
    <w:rsid w:val="7C4F664C"/>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uiPriority w:val="99"/>
    <w:rPr>
      <w:color w:val="000000"/>
      <w:u w:val="none"/>
    </w:rPr>
  </w:style>
  <w:style w:type="character" w:styleId="7">
    <w:name w:val="Hyperlink"/>
    <w:basedOn w:val="5"/>
    <w:semiHidden/>
    <w:unhideWhenUsed/>
    <w:uiPriority w:val="99"/>
    <w:rPr>
      <w:color w:val="000000"/>
      <w:u w:val="none"/>
    </w:r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 w:type="character" w:customStyle="1" w:styleId="10">
    <w:name w:val="innerdata"/>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175</Words>
  <Characters>1002</Characters>
  <Lines>8</Lines>
  <Paragraphs>2</Paragraphs>
  <TotalTime>21</TotalTime>
  <ScaleCrop>false</ScaleCrop>
  <LinksUpToDate>false</LinksUpToDate>
  <CharactersWithSpaces>1175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程文</cp:lastModifiedBy>
  <dcterms:modified xsi:type="dcterms:W3CDTF">2025-08-26T01:18:46Z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EED3CCD809784ACDB228231507B5E93E</vt:lpwstr>
  </property>
</Properties>
</file>