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困境儿童生活补助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515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64325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99.91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402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通过困境儿童生活费的发放，对符合发放条件的困境儿童及时发放，能够保证困境儿童生活水平不受影响。为困境儿童现4人按月发放生活费，发放标准参考低保金数额，每月发放一次。参考2023年发放标准，考虑新增困境儿童人数，发放标准增长等因素。预算申报120000元。"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对符合发放条件的困境儿童及时发放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困境儿童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指标1：全区统一标准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全区统一标准执行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全区统一标准执行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指标1：困难群众基本生活保障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有所提升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有所提升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指标2：政策落实到位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应救尽救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应救尽救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指标1：受助人员满意度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＞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＞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A8A1777"/>
    <w:rsid w:val="3EB24606"/>
    <w:rsid w:val="416772B8"/>
    <w:rsid w:val="4B586317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28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2025-08-26T01:13:01Z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1EC4E317D27545CD83B3E7761617518D</vt:lpwstr>
  </property>
</Properties>
</file>