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38"/>
        <w:gridCol w:w="59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>（  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城市管理应急处置经费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城市管理办公室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240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0000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145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140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877088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97.16%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应急处置突发情况，降低居民生活影响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圆满完成应急处置工作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总分应为90分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指标1：根据202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年实际发生量计算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80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根据202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年实际发生量计算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指标1：突发应急事件处理得当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实施解危排险作业，保障居民生命财产安全，满足居民生活需求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指标1：突发应急事件响应迅速，及时解决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突发应急事件第一时间响应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15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指标1：确保应急处置力量（包括人员、物资、工具等）到位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根据202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年实际发生量计算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指标1：确保居民正常生活和生命财产安全，满足居民生活需求，提升居民生活幸福感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突发应急事件响应迅速，及时解决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指标1：所涉及居民满意度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居民满意度大于90%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含预算执行的总计10分，按实际得分计算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99.7</w:t>
            </w:r>
          </w:p>
        </w:tc>
        <w:tc>
          <w:tcPr>
            <w:tcW w:w="12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zODJkOGUyYjU5ZjkwMjJlZTVkN2M3M2IzZjI2NTQ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3D09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309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2DBC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20E3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2F5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48B1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0F48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4705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1B773BD5"/>
    <w:rsid w:val="226651E3"/>
    <w:rsid w:val="27550B7D"/>
    <w:rsid w:val="2B6331C1"/>
    <w:rsid w:val="2EC643DB"/>
    <w:rsid w:val="2F9F402E"/>
    <w:rsid w:val="32536B23"/>
    <w:rsid w:val="3A8A1777"/>
    <w:rsid w:val="40650F8B"/>
    <w:rsid w:val="5A640111"/>
    <w:rsid w:val="5F137D37"/>
    <w:rsid w:val="69633D06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506</Words>
  <Characters>568</Characters>
  <Lines>568</Lines>
  <Paragraphs>153</Paragraphs>
  <TotalTime>74</TotalTime>
  <ScaleCrop>false</ScaleCrop>
  <LinksUpToDate>false</LinksUpToDate>
  <CharactersWithSpaces>921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2025-08-26T02:06:14Z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43A740D4376A4BC1B1DBCD1ECCC348CC_13</vt:lpwstr>
  </property>
</Properties>
</file>