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highlight w:val="none"/>
              </w:rPr>
              <w:t>违法建筑拆除工程经费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937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893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308131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893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30813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</w:rPr>
              <w:t>根据年度拆除违法建筑任务，组织作业力量对其进行拆除及局部恢复。根据实际产生工程量进行计算，并根据竣工及评审结果进行结算。完成年度拆违任务指标，逐步清理在账违建，坚决治理新生违建，封堵新生开墙打洞现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完成年度任务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总分应为90分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指标1：完成面积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=3350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=3350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指标1：工程质量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符合国家建设行业标准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指标1：支出情况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按照约定完成各类费用支出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指标1：施工成本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严格报批、验收，加强施工监管，控制各项支出成本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指标1：地区环境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提高地区环境质量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指标2：地区宜居品质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得到切实改善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指标1：满意度调查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0F89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6167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5DA4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071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1754E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8FB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2B56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B62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4E2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FA5F88"/>
    <w:rsid w:val="10BF74FC"/>
    <w:rsid w:val="1AF14BBE"/>
    <w:rsid w:val="214E7227"/>
    <w:rsid w:val="226651E3"/>
    <w:rsid w:val="27550B7D"/>
    <w:rsid w:val="2B6331C1"/>
    <w:rsid w:val="2DF91FEC"/>
    <w:rsid w:val="2EC643DB"/>
    <w:rsid w:val="32536B23"/>
    <w:rsid w:val="3A8A1777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864</Words>
  <Characters>925</Characters>
  <Lines>308</Lines>
  <Paragraphs>162</Paragraphs>
  <TotalTime>1</TotalTime>
  <ScaleCrop>false</ScaleCrop>
  <LinksUpToDate>false</LinksUpToDate>
  <CharactersWithSpaces>1627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2025-08-26T02:03:20Z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