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656" w:tblpY="1435"/>
        <w:tblOverlap w:val="never"/>
        <w:tblW w:w="973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075"/>
        <w:gridCol w:w="1295"/>
        <w:gridCol w:w="750"/>
        <w:gridCol w:w="595"/>
        <w:gridCol w:w="450"/>
        <w:gridCol w:w="268"/>
        <w:gridCol w:w="463"/>
        <w:gridCol w:w="1469"/>
        <w:gridCol w:w="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440" w:hRule="exact"/>
        </w:trPr>
        <w:tc>
          <w:tcPr>
            <w:tcW w:w="9716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194" w:hRule="atLeast"/>
        </w:trPr>
        <w:tc>
          <w:tcPr>
            <w:tcW w:w="971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363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一级项目名称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8175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机关办公用房房租及运行费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255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1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西长安街街道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实施单位</w:t>
            </w:r>
          </w:p>
        </w:tc>
        <w:tc>
          <w:tcPr>
            <w:tcW w:w="265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综合办后勤组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调增调减后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0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13225000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18262125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18261761.12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其中：当年财政拨款</w:t>
            </w:r>
          </w:p>
        </w:tc>
        <w:tc>
          <w:tcPr>
            <w:tcW w:w="10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   上年结转资金</w:t>
            </w:r>
          </w:p>
        </w:tc>
        <w:tc>
          <w:tcPr>
            <w:tcW w:w="10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其他资金</w:t>
            </w:r>
          </w:p>
        </w:tc>
        <w:tc>
          <w:tcPr>
            <w:tcW w:w="10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14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39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959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14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5"/>
                <w:szCs w:val="15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highlight w:val="none"/>
                <w:lang w:eastAsia="zh-CN"/>
              </w:rPr>
              <w:t>弥补机关办公用房不足，租赁了部分房屋。</w:t>
            </w:r>
          </w:p>
        </w:tc>
        <w:tc>
          <w:tcPr>
            <w:tcW w:w="39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5"/>
                <w:szCs w:val="15"/>
                <w:highlight w:val="none"/>
                <w:lang w:eastAsia="zh-CN"/>
              </w:rPr>
            </w:pPr>
            <w:bookmarkStart w:id="0" w:name="OLE_LINK3"/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highlight w:val="none"/>
                <w:lang w:val="en-US" w:eastAsia="zh-CN"/>
              </w:rPr>
              <w:t>2024年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highlight w:val="none"/>
                <w:lang w:eastAsia="zh-CN"/>
              </w:rPr>
              <w:t>按照已签订的办公用房合同约定，按时支付房租。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517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总分应为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17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1255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40-60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17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highlight w:val="none"/>
              </w:rPr>
              <w:tab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highlight w:val="none"/>
                <w:lang w:eastAsia="zh-CN"/>
              </w:rPr>
              <w:t>按照租赁房屋数量按时支付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highlight w:val="none"/>
                <w:lang w:val="en-US" w:eastAsia="zh-CN"/>
              </w:rPr>
              <w:t>按照合同约定全部支付支付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3"/>
                <w:szCs w:val="13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  <w:highlight w:val="none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kern w:val="0"/>
                <w:sz w:val="13"/>
                <w:szCs w:val="13"/>
                <w:highlight w:val="none"/>
                <w:lang w:eastAsia="zh-CN"/>
              </w:rPr>
              <w:t>到期合同等续签后支付。</w:t>
            </w:r>
            <w:r>
              <w:rPr>
                <w:rFonts w:hint="eastAsia" w:ascii="宋体" w:hAnsi="宋体" w:eastAsia="宋体" w:cs="宋体"/>
                <w:kern w:val="0"/>
                <w:sz w:val="13"/>
                <w:szCs w:val="13"/>
                <w:highlight w:val="no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13"/>
                <w:szCs w:val="13"/>
                <w:highlight w:val="none"/>
                <w:lang w:eastAsia="zh-CN"/>
              </w:rPr>
              <w:t>根据办公需求，有的房屋租赁合同需要提前终止，房租根据实际情况协商支付，不再按原合同约定支付全年。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30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17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  <w:highlight w:val="none"/>
                <w:lang w:val="en-US" w:eastAsia="zh-CN" w:bidi="ar-SA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5"/>
                <w:szCs w:val="15"/>
                <w:highlight w:val="none"/>
                <w:lang w:val="en-US" w:eastAsia="zh-CN" w:bidi="ar-SA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  <w:highlight w:val="none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  <w:highlight w:val="none"/>
                <w:lang w:val="en-US" w:eastAsia="zh-CN" w:bidi="ar-SA"/>
              </w:rPr>
            </w:pP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  <w:highlight w:val="none"/>
              </w:rPr>
            </w:pP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454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highlight w:val="none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highlight w:val="none"/>
                <w:lang w:eastAsia="zh-CN"/>
              </w:rPr>
              <w:t>达到预期效果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highlight w:val="none"/>
              </w:rPr>
              <w:t>弥补机关办公用房不足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highlight w:val="none"/>
                <w:lang w:val="en-US" w:eastAsia="zh-CN"/>
              </w:rPr>
              <w:t>有效弥补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highlight w:val="none"/>
                <w:lang w:val="en-US" w:eastAsia="zh-CN"/>
              </w:rPr>
              <w:t>10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highlight w:val="none"/>
                <w:lang w:val="en-US" w:eastAsia="zh-CN"/>
              </w:rPr>
              <w:t>10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17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highlight w:val="none"/>
                <w:lang w:eastAsia="zh-CN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  <w:highlight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  <w:highlight w:val="none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  <w:highlight w:val="none"/>
                <w:lang w:val="en-US" w:eastAsia="zh-CN" w:bidi="ar-SA"/>
              </w:rPr>
            </w:pP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  <w:highlight w:val="none"/>
              </w:rPr>
            </w:pP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498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highlight w:val="none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highlight w:val="none"/>
                <w:lang w:eastAsia="zh-CN"/>
              </w:rPr>
              <w:t>完成进度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highlight w:val="none"/>
                <w:lang w:eastAsia="zh-CN"/>
              </w:rPr>
              <w:t>租赁房租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highlight w:val="none"/>
                <w:lang w:val="en-US" w:eastAsia="zh-CN"/>
              </w:rPr>
              <w:t>100%支付完成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highlight w:val="none"/>
                <w:lang w:val="en-US" w:eastAsia="zh-CN"/>
              </w:rPr>
              <w:t>按时支付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highlight w:val="none"/>
                <w:lang w:val="en-US" w:eastAsia="zh-CN"/>
              </w:rPr>
              <w:t>20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highlight w:val="none"/>
                <w:lang w:val="en-US" w:eastAsia="zh-CN"/>
              </w:rPr>
              <w:t>20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585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17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highlight w:val="none"/>
                <w:lang w:eastAsia="zh-CN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highlight w:val="none"/>
                <w:lang w:val="en-US" w:eastAsia="zh-CN"/>
              </w:rPr>
              <w:t>1：完成全年总预算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highlight w:val="none"/>
                <w:lang w:val="en-US" w:eastAsia="zh-CN"/>
              </w:rPr>
              <w:t>完成全年总预算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0"/>
                <w:sz w:val="15"/>
                <w:szCs w:val="15"/>
                <w:highlight w:val="none"/>
                <w:lang w:val="en-US" w:eastAsia="zh-CN"/>
              </w:rPr>
              <w:t>18261761.12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highlight w:val="none"/>
                <w:lang w:val="en-US" w:eastAsia="zh-CN"/>
              </w:rPr>
              <w:t>20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highlight w:val="none"/>
                <w:lang w:val="en-US" w:eastAsia="zh-CN"/>
              </w:rPr>
              <w:t>20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3"/>
                <w:szCs w:val="13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21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highlight w:val="none"/>
              </w:rPr>
              <w:t>指标2：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  <w:highlight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  <w:highlight w:val="none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  <w:highlight w:val="none"/>
                <w:lang w:val="en-US" w:eastAsia="zh-CN" w:bidi="ar-SA"/>
              </w:rPr>
            </w:pP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  <w:highlight w:val="none"/>
              </w:rPr>
            </w:pP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224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20-40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7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highlight w:val="none"/>
              </w:rPr>
              <w:t>指标1：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  <w:highlight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  <w:highlight w:val="none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  <w:highlight w:val="none"/>
                <w:lang w:val="en-US" w:eastAsia="zh-CN" w:bidi="ar-SA"/>
              </w:rPr>
            </w:pP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  <w:highlight w:val="none"/>
              </w:rPr>
            </w:pP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1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highlight w:val="none"/>
              </w:rPr>
              <w:t>指标2：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  <w:highlight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  <w:highlight w:val="none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  <w:highlight w:val="none"/>
                <w:lang w:val="en-US" w:eastAsia="zh-CN" w:bidi="ar-SA"/>
              </w:rPr>
            </w:pP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  <w:highlight w:val="none"/>
              </w:rPr>
            </w:pP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483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7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highlight w:val="none"/>
                <w:lang w:eastAsia="zh-CN"/>
              </w:rPr>
              <w:t>提供稳定的办公场所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  <w:highlight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highlight w:val="none"/>
                <w:lang w:val="en-US" w:eastAsia="zh-CN"/>
              </w:rPr>
              <w:t>有效提供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highlight w:val="none"/>
                <w:lang w:val="en-US" w:eastAsia="zh-CN"/>
              </w:rPr>
              <w:t>10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highlight w:val="none"/>
                <w:lang w:val="en-US" w:eastAsia="zh-CN"/>
              </w:rPr>
              <w:t>10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bookmarkStart w:id="1" w:name="_GoBack"/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highlight w:val="none"/>
                <w:lang w:eastAsia="zh-CN"/>
              </w:rPr>
              <w:t>把房租涨幅控制在合理范围内</w:t>
            </w:r>
            <w:bookmarkEnd w:id="1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154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highlight w:val="none"/>
              </w:rPr>
              <w:t>指标2：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  <w:highlight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  <w:highlight w:val="none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  <w:highlight w:val="none"/>
                <w:lang w:val="en-US" w:eastAsia="zh-CN" w:bidi="ar-SA"/>
              </w:rPr>
            </w:pP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  <w:highlight w:val="none"/>
              </w:rPr>
            </w:pP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7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highlight w:val="none"/>
              </w:rPr>
              <w:t>指标1：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  <w:highlight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  <w:highlight w:val="none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  <w:highlight w:val="none"/>
                <w:lang w:val="en-US" w:eastAsia="zh-CN" w:bidi="ar-SA"/>
              </w:rPr>
            </w:pP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  <w:highlight w:val="none"/>
              </w:rPr>
            </w:pP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highlight w:val="none"/>
              </w:rPr>
              <w:t>指标2：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  <w:highlight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  <w:highlight w:val="none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  <w:highlight w:val="none"/>
                <w:lang w:val="en-US" w:eastAsia="zh-CN" w:bidi="ar-SA"/>
              </w:rPr>
            </w:pP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  <w:highlight w:val="none"/>
              </w:rPr>
            </w:pP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959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可持续影响指标</w:t>
            </w:r>
          </w:p>
        </w:tc>
        <w:tc>
          <w:tcPr>
            <w:tcW w:w="17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highlight w:val="none"/>
                <w:lang w:eastAsia="zh-CN"/>
              </w:rPr>
              <w:t>满足办公需求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  <w:highlight w:val="none"/>
                <w:lang w:eastAsia="zh-CN"/>
              </w:rPr>
              <w:t>城管一队二队办公用房、食堂、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highlight w:val="none"/>
                <w:lang w:eastAsia="zh-CN"/>
              </w:rPr>
              <w:t>安全生产办，机关活动中心，公共服务中心等办公用房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highlight w:val="none"/>
                <w:lang w:val="en-US" w:eastAsia="zh-CN"/>
              </w:rPr>
              <w:t>有效满足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highlight w:val="none"/>
                <w:lang w:val="en-US" w:eastAsia="zh-CN"/>
              </w:rPr>
              <w:t>10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highlight w:val="none"/>
                <w:lang w:val="en-US" w:eastAsia="zh-CN"/>
              </w:rPr>
              <w:t>10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203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highlight w:val="none"/>
              </w:rPr>
              <w:t>指标2：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  <w:highlight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  <w:highlight w:val="none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  <w:highlight w:val="none"/>
                <w:lang w:val="en-US" w:eastAsia="zh-CN" w:bidi="ar-SA"/>
              </w:rPr>
            </w:pP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  <w:highlight w:val="none"/>
              </w:rPr>
            </w:pP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479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0-10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17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highlight w:val="none"/>
                <w:lang w:eastAsia="zh-CN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highlight w:val="none"/>
                <w:lang w:val="en-US" w:eastAsia="zh-CN"/>
              </w:rPr>
              <w:t>1：使用办公用房部门</w:t>
            </w:r>
          </w:p>
        </w:tc>
        <w:tc>
          <w:tcPr>
            <w:tcW w:w="12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highlight w:val="none"/>
                <w:lang w:val="en-US" w:eastAsia="zh-CN"/>
              </w:rPr>
              <w:t>≥90%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highlight w:val="none"/>
                <w:lang w:val="en-US" w:eastAsia="zh-CN"/>
              </w:rPr>
              <w:t>90%</w:t>
            </w:r>
          </w:p>
        </w:tc>
        <w:tc>
          <w:tcPr>
            <w:tcW w:w="5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highlight w:val="none"/>
                <w:lang w:val="en-US" w:eastAsia="zh-CN"/>
              </w:rPr>
              <w:t>10</w:t>
            </w:r>
          </w:p>
        </w:tc>
        <w:tc>
          <w:tcPr>
            <w:tcW w:w="7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highlight w:val="none"/>
                <w:lang w:val="en-US" w:eastAsia="zh-CN"/>
              </w:rPr>
              <w:t>10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228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158" w:hRule="exact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291" w:hRule="exact"/>
        </w:trPr>
        <w:tc>
          <w:tcPr>
            <w:tcW w:w="647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含预算执行的总计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10分，按实际得分计算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</w:tr>
    </w:tbl>
    <w:p>
      <w:pPr>
        <w:ind w:firstLine="420" w:firstLineChars="200"/>
        <w:rPr>
          <w:rFonts w:hint="eastAsia" w:ascii="黑体" w:hAnsi="黑体" w:eastAsia="黑体" w:cs="Times New Roman"/>
          <w:szCs w:val="24"/>
          <w:lang w:eastAsia="zh-CN"/>
        </w:rPr>
      </w:pPr>
    </w:p>
    <w:p>
      <w:pPr>
        <w:rPr>
          <w:rFonts w:hint="eastAsia" w:ascii="黑体" w:hAnsi="黑体" w:eastAsia="黑体" w:cs="Times New Roman"/>
          <w:szCs w:val="24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6B43F4A"/>
    <w:rsid w:val="06F1716A"/>
    <w:rsid w:val="09A1685B"/>
    <w:rsid w:val="0A2E156F"/>
    <w:rsid w:val="0DA778E9"/>
    <w:rsid w:val="101669C7"/>
    <w:rsid w:val="105852C5"/>
    <w:rsid w:val="10BF74FC"/>
    <w:rsid w:val="12ED3164"/>
    <w:rsid w:val="15BB7B72"/>
    <w:rsid w:val="17E363D2"/>
    <w:rsid w:val="1AF14BBE"/>
    <w:rsid w:val="226651E3"/>
    <w:rsid w:val="27233AD0"/>
    <w:rsid w:val="27550B7D"/>
    <w:rsid w:val="2814361B"/>
    <w:rsid w:val="2B6331C1"/>
    <w:rsid w:val="2CFD4F8A"/>
    <w:rsid w:val="2EC643DB"/>
    <w:rsid w:val="2ECE7370"/>
    <w:rsid w:val="2F9E01E8"/>
    <w:rsid w:val="301E3D63"/>
    <w:rsid w:val="32536B23"/>
    <w:rsid w:val="36DE4F4C"/>
    <w:rsid w:val="37580BBE"/>
    <w:rsid w:val="398D5CD6"/>
    <w:rsid w:val="39F612D5"/>
    <w:rsid w:val="3A8A1777"/>
    <w:rsid w:val="3BB125C4"/>
    <w:rsid w:val="40697AC8"/>
    <w:rsid w:val="42015A74"/>
    <w:rsid w:val="43701838"/>
    <w:rsid w:val="45AF14F3"/>
    <w:rsid w:val="479E1AE9"/>
    <w:rsid w:val="48684739"/>
    <w:rsid w:val="48B67724"/>
    <w:rsid w:val="4ECE4A15"/>
    <w:rsid w:val="4F920295"/>
    <w:rsid w:val="518B5EA5"/>
    <w:rsid w:val="51A631A6"/>
    <w:rsid w:val="546E115E"/>
    <w:rsid w:val="592950F2"/>
    <w:rsid w:val="5A640111"/>
    <w:rsid w:val="5CE81D89"/>
    <w:rsid w:val="5E6141E5"/>
    <w:rsid w:val="5F137D37"/>
    <w:rsid w:val="5F396B59"/>
    <w:rsid w:val="5F9A562B"/>
    <w:rsid w:val="641D4FB1"/>
    <w:rsid w:val="648A792C"/>
    <w:rsid w:val="64CB13C7"/>
    <w:rsid w:val="658A3BCF"/>
    <w:rsid w:val="6B3D2A90"/>
    <w:rsid w:val="6F27769A"/>
    <w:rsid w:val="71374D42"/>
    <w:rsid w:val="728B7844"/>
    <w:rsid w:val="728C1C1B"/>
    <w:rsid w:val="744D46DB"/>
    <w:rsid w:val="748048A2"/>
    <w:rsid w:val="762070B4"/>
    <w:rsid w:val="76AF1D88"/>
    <w:rsid w:val="77187528"/>
    <w:rsid w:val="7B2D7249"/>
    <w:rsid w:val="7C4F664C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qFormat/>
    <w:uiPriority w:val="99"/>
    <w:rPr>
      <w:color w:val="000000"/>
      <w:u w:val="none"/>
    </w:rPr>
  </w:style>
  <w:style w:type="character" w:styleId="7">
    <w:name w:val="Hyperlink"/>
    <w:basedOn w:val="5"/>
    <w:semiHidden/>
    <w:unhideWhenUsed/>
    <w:qFormat/>
    <w:uiPriority w:val="99"/>
    <w:rPr>
      <w:color w:val="000000"/>
      <w:u w:val="none"/>
    </w:rPr>
  </w:style>
  <w:style w:type="character" w:customStyle="1" w:styleId="8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10">
    <w:name w:val="innerdata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719</Words>
  <Characters>815</Characters>
  <Lines>8</Lines>
  <Paragraphs>2</Paragraphs>
  <TotalTime>5</TotalTime>
  <ScaleCrop>false</ScaleCrop>
  <LinksUpToDate>false</LinksUpToDate>
  <CharactersWithSpaces>826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2025-08-26T02:15:44Z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ED4B11313BD84A7A955D185F7A11FF2C</vt:lpwstr>
  </property>
  <property fmtid="{D5CDD505-2E9C-101B-9397-08002B2CF9AE}" pid="4" name="KSOTemplateDocerSaveRecord">
    <vt:lpwstr>eyJoZGlkIjoiYTg2ODM2YmNiZTA0Nzg1ZTIyMDE4MGVjOTJhZDUzMzAiLCJ1c2VySWQiOiIyMzk1Nzk3ODcifQ==</vt:lpwstr>
  </property>
</Properties>
</file>