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833"/>
        <w:gridCol w:w="139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西长安街社区综合服务中心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223.000000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181.212449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180.706126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99.72%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本项目实施是健全社会服务体系，提高社区服务管理水平，不断满足广大居民日益提高的生活需求。同时也为周边群众带来了方便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本项目实施是健全社会服务体系，提高社区服务管理水平，不断满足广大居民日益提高的生活需求。同时也为周边群众带来了方便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指标1：市民中心建设面积 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=6796.69平方米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=6796.69平方米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指标1：市民中心建设标准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市民中心建设进度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依照发改委批复进程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依照发改委批复进程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指标1：2022年度投资额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=223万元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180.706126万元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指标1：市民中心建成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健全社会服务体系，提高社区服务管理水平，不断满足广大居民日益提高的生活需求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有效提高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指标1：辖区居民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2368B7"/>
    <w:rsid w:val="02093766"/>
    <w:rsid w:val="10BF74FC"/>
    <w:rsid w:val="1A3D5A6B"/>
    <w:rsid w:val="1AF14BBE"/>
    <w:rsid w:val="2167105F"/>
    <w:rsid w:val="226651E3"/>
    <w:rsid w:val="27550B7D"/>
    <w:rsid w:val="2B6331C1"/>
    <w:rsid w:val="2EC643DB"/>
    <w:rsid w:val="32536B23"/>
    <w:rsid w:val="330F647D"/>
    <w:rsid w:val="34572CE0"/>
    <w:rsid w:val="3A8A1777"/>
    <w:rsid w:val="43290211"/>
    <w:rsid w:val="5A640111"/>
    <w:rsid w:val="5F137D37"/>
    <w:rsid w:val="62716CC0"/>
    <w:rsid w:val="748048A2"/>
    <w:rsid w:val="759F18EF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1389</Words>
  <Characters>1482</Characters>
  <Lines>8</Lines>
  <Paragraphs>2</Paragraphs>
  <TotalTime>7</TotalTime>
  <ScaleCrop>false</ScaleCrop>
  <LinksUpToDate>false</LinksUpToDate>
  <CharactersWithSpaces>1494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2025-08-26T02:23:53Z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eyJoZGlkIjoiODRlMWNiMzkxYzU5NDFiODI3MmIzNWQyZjJhNjhkZmQiLCJ1c2VySWQiOiI0NDA2NDQyMTYifQ==</vt:lpwstr>
  </property>
  <property fmtid="{D5CDD505-2E9C-101B-9397-08002B2CF9AE}" pid="4" name="ICV">
    <vt:lpwstr>FA062994BBCF43229B2030E278334BA6_13</vt:lpwstr>
  </property>
</Properties>
</file>