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北京市西城区房屋征收事务中心</w:t>
      </w: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cs="宋体"/>
          <w:bCs/>
          <w:spacing w:val="40"/>
          <w:kern w:val="0"/>
          <w:sz w:val="32"/>
          <w:szCs w:val="32"/>
          <w:lang w:eastAsia="zh-CN"/>
        </w:rPr>
        <w:t>2024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lang w:eastAsia="zh-CN"/>
        </w:rPr>
        <w:t>2024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lang w:eastAsia="zh-CN"/>
        </w:rPr>
        <w:t>2024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 xml:space="preserve">第四部分 </w:t>
      </w:r>
      <w:r>
        <w:rPr>
          <w:rFonts w:hint="eastAsia" w:ascii="宋体" w:hAnsi="宋体" w:cs="宋体"/>
          <w:spacing w:val="40"/>
          <w:kern w:val="0"/>
          <w:sz w:val="32"/>
          <w:szCs w:val="32"/>
          <w:lang w:eastAsia="zh-CN"/>
        </w:rPr>
        <w:t>2024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r>
        <w:rPr>
          <w:rFonts w:hint="eastAsia" w:ascii="仿宋_GB2312" w:eastAsia="仿宋_GB2312"/>
          <w:b w:val="0"/>
          <w:bCs w:val="0"/>
          <w:sz w:val="28"/>
          <w:szCs w:val="28"/>
          <w:lang w:eastAsia="zh-CN"/>
        </w:rPr>
        <w:t>一</w:t>
      </w:r>
      <w:r>
        <w:rPr>
          <w:rFonts w:hint="eastAsia" w:ascii="仿宋_GB2312" w:eastAsia="仿宋_GB2312"/>
          <w:b w:val="0"/>
          <w:bCs w:val="0"/>
          <w:sz w:val="28"/>
          <w:szCs w:val="28"/>
        </w:rPr>
        <w:t>。</w:t>
      </w: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lang w:eastAsia="zh-CN"/>
        </w:rPr>
        <w:t>2024</w:t>
      </w:r>
      <w:r>
        <w:rPr>
          <w:rFonts w:hint="eastAsia" w:ascii="宋体" w:hAnsi="宋体"/>
          <w:b/>
          <w:spacing w:val="40"/>
          <w:sz w:val="32"/>
          <w:szCs w:val="32"/>
        </w:rPr>
        <w:t>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北京市西城区房屋征收事务中心（以下简称“本中心”）成立于2013年6月7日</w:t>
      </w:r>
      <w:r>
        <w:rPr>
          <w:rFonts w:hint="eastAsia" w:ascii="仿宋_GB2312"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北京市西城区人民政府直属公益一类事业单位，属一级预算单位，执行政府会计准则制度，受本区房屋征收行政部门委托，负责房屋征收与补偿的具体实施工作。</w:t>
      </w:r>
    </w:p>
    <w:p>
      <w:pPr>
        <w:snapToGrid w:val="0"/>
        <w:spacing w:line="520" w:lineRule="exact"/>
        <w:ind w:firstLine="560" w:firstLineChars="200"/>
        <w:rPr>
          <w:rFonts w:hint="eastAsia" w:ascii="楷体_GB2312" w:hAnsi="仿宋" w:eastAsia="楷体_GB2312" w:cs="Times New Roman"/>
          <w:b w:val="0"/>
          <w:bCs/>
          <w:sz w:val="28"/>
          <w:szCs w:val="28"/>
          <w:highlight w:val="none"/>
          <w:u w:val="none"/>
          <w:lang w:val="en-US" w:eastAsia="zh-CN"/>
        </w:rPr>
      </w:pPr>
      <w:r>
        <w:rPr>
          <w:rFonts w:hint="eastAsia" w:ascii="楷体_GB2312" w:hAnsi="仿宋" w:eastAsia="楷体_GB2312" w:cs="Times New Roman"/>
          <w:b w:val="0"/>
          <w:bCs/>
          <w:sz w:val="28"/>
          <w:szCs w:val="28"/>
          <w:highlight w:val="none"/>
          <w:u w:val="none"/>
          <w:lang w:val="en-US" w:eastAsia="zh-CN"/>
        </w:rPr>
        <w:t>（一）主要职能</w:t>
      </w:r>
    </w:p>
    <w:p>
      <w:pPr>
        <w:tabs>
          <w:tab w:val="center" w:pos="6979"/>
        </w:tabs>
        <w:spacing w:line="580" w:lineRule="exact"/>
        <w:ind w:firstLine="420" w:firstLineChars="150"/>
        <w:rPr>
          <w:rFonts w:hint="eastAsia" w:ascii="仿宋_GB2312" w:hAnsi="Times New Roman" w:eastAsia="仿宋_GB2312" w:cs="Times New Roman"/>
          <w:sz w:val="28"/>
          <w:szCs w:val="28"/>
          <w:lang w:val="en-US" w:eastAsia="zh-CN"/>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hAnsi="Times New Roman" w:eastAsia="仿宋_GB2312" w:cs="Times New Roman"/>
          <w:sz w:val="28"/>
          <w:szCs w:val="28"/>
          <w:lang w:val="en-US" w:eastAsia="zh-CN"/>
        </w:rPr>
        <w:t>协助编制房屋征收与补偿安置方案，承担方案的征求意见工作。</w:t>
      </w:r>
    </w:p>
    <w:p>
      <w:pPr>
        <w:tabs>
          <w:tab w:val="center" w:pos="6979"/>
        </w:tabs>
        <w:spacing w:line="580" w:lineRule="exact"/>
        <w:ind w:firstLine="420" w:firstLineChars="150"/>
        <w:rPr>
          <w:rFonts w:hint="eastAsia" w:ascii="仿宋_GB2312" w:hAnsi="Times New Roman" w:eastAsia="仿宋_GB2312" w:cs="Times New Roman"/>
          <w:sz w:val="28"/>
          <w:szCs w:val="28"/>
          <w:lang w:val="en-US" w:eastAsia="zh-CN"/>
        </w:rPr>
      </w:pPr>
      <w:r>
        <w:rPr>
          <w:rFonts w:hint="eastAsia" w:ascii="仿宋_GB2312" w:eastAsia="仿宋_GB2312" w:cs="Times New Roman"/>
          <w:sz w:val="28"/>
          <w:szCs w:val="28"/>
          <w:lang w:val="en-US" w:eastAsia="zh-CN"/>
        </w:rPr>
        <w:t>2、</w:t>
      </w:r>
      <w:r>
        <w:rPr>
          <w:rFonts w:hint="eastAsia" w:ascii="仿宋_GB2312" w:hAnsi="Times New Roman" w:eastAsia="仿宋_GB2312" w:cs="Times New Roman"/>
          <w:sz w:val="28"/>
          <w:szCs w:val="28"/>
          <w:lang w:val="en-US" w:eastAsia="zh-CN"/>
        </w:rPr>
        <w:t>协助开展房屋征收与补偿相关法规文件的公布公示工作。</w:t>
      </w:r>
    </w:p>
    <w:p>
      <w:pPr>
        <w:tabs>
          <w:tab w:val="center" w:pos="6979"/>
        </w:tabs>
        <w:spacing w:line="580" w:lineRule="exact"/>
        <w:ind w:firstLine="420" w:firstLineChars="150"/>
        <w:rPr>
          <w:rFonts w:hint="eastAsia" w:ascii="仿宋_GB2312" w:hAnsi="Times New Roman" w:eastAsia="仿宋_GB2312" w:cs="Times New Roman"/>
          <w:sz w:val="28"/>
          <w:szCs w:val="28"/>
          <w:lang w:val="en-US" w:eastAsia="zh-CN"/>
        </w:rPr>
      </w:pPr>
      <w:r>
        <w:rPr>
          <w:rFonts w:hint="eastAsia" w:ascii="仿宋_GB2312" w:eastAsia="仿宋_GB2312" w:cs="Times New Roman"/>
          <w:sz w:val="28"/>
          <w:szCs w:val="28"/>
          <w:lang w:val="en-US" w:eastAsia="zh-CN"/>
        </w:rPr>
        <w:t>3、</w:t>
      </w:r>
      <w:r>
        <w:rPr>
          <w:rFonts w:hint="eastAsia" w:ascii="仿宋_GB2312" w:hAnsi="Times New Roman" w:eastAsia="仿宋_GB2312" w:cs="Times New Roman"/>
          <w:sz w:val="28"/>
          <w:szCs w:val="28"/>
          <w:lang w:val="en-US" w:eastAsia="zh-CN"/>
        </w:rPr>
        <w:t>承担房屋征收范围内调查登记的具体实施工作。</w:t>
      </w:r>
    </w:p>
    <w:p>
      <w:pPr>
        <w:tabs>
          <w:tab w:val="center" w:pos="6979"/>
        </w:tabs>
        <w:spacing w:line="580" w:lineRule="exact"/>
        <w:ind w:firstLine="420" w:firstLineChars="150"/>
        <w:rPr>
          <w:rFonts w:hint="eastAsia" w:ascii="仿宋_GB2312" w:hAnsi="Times New Roman" w:eastAsia="仿宋_GB2312" w:cs="Times New Roman"/>
          <w:sz w:val="28"/>
          <w:szCs w:val="28"/>
          <w:lang w:val="en-US" w:eastAsia="zh-CN"/>
        </w:rPr>
      </w:pPr>
      <w:r>
        <w:rPr>
          <w:rFonts w:hint="eastAsia" w:ascii="仿宋_GB2312" w:eastAsia="仿宋_GB2312" w:cs="Times New Roman"/>
          <w:sz w:val="28"/>
          <w:szCs w:val="28"/>
          <w:lang w:val="en-US" w:eastAsia="zh-CN"/>
        </w:rPr>
        <w:t>4、</w:t>
      </w:r>
      <w:r>
        <w:rPr>
          <w:rFonts w:hint="eastAsia" w:ascii="仿宋_GB2312" w:hAnsi="Times New Roman" w:eastAsia="仿宋_GB2312" w:cs="Times New Roman"/>
          <w:sz w:val="28"/>
          <w:szCs w:val="28"/>
          <w:lang w:val="en-US" w:eastAsia="zh-CN"/>
        </w:rPr>
        <w:t>协助承担房屋征收与补偿过程中专业性服务机构的选定和专业性工作的综合管理。</w:t>
      </w:r>
    </w:p>
    <w:p>
      <w:pPr>
        <w:tabs>
          <w:tab w:val="center" w:pos="6979"/>
        </w:tabs>
        <w:spacing w:line="580" w:lineRule="exact"/>
        <w:ind w:firstLine="420" w:firstLineChars="150"/>
        <w:rPr>
          <w:rFonts w:hint="eastAsia" w:ascii="仿宋_GB2312" w:hAnsi="Times New Roman" w:eastAsia="仿宋_GB2312" w:cs="Times New Roman"/>
          <w:sz w:val="28"/>
          <w:szCs w:val="28"/>
          <w:lang w:val="en-US" w:eastAsia="zh-CN"/>
        </w:rPr>
      </w:pPr>
      <w:r>
        <w:rPr>
          <w:rFonts w:hint="eastAsia" w:ascii="仿宋_GB2312" w:eastAsia="仿宋_GB2312" w:cs="Times New Roman"/>
          <w:sz w:val="28"/>
          <w:szCs w:val="28"/>
          <w:lang w:val="en-US" w:eastAsia="zh-CN"/>
        </w:rPr>
        <w:t>5、</w:t>
      </w:r>
      <w:r>
        <w:rPr>
          <w:rFonts w:hint="eastAsia" w:ascii="仿宋_GB2312" w:hAnsi="Times New Roman" w:eastAsia="仿宋_GB2312" w:cs="Times New Roman"/>
          <w:sz w:val="28"/>
          <w:szCs w:val="28"/>
          <w:lang w:val="en-US" w:eastAsia="zh-CN"/>
        </w:rPr>
        <w:t>承担征收资金的使用和管理工作。</w:t>
      </w:r>
    </w:p>
    <w:p>
      <w:pPr>
        <w:tabs>
          <w:tab w:val="center" w:pos="6979"/>
        </w:tabs>
        <w:spacing w:line="580" w:lineRule="exact"/>
        <w:ind w:firstLine="420" w:firstLineChars="150"/>
        <w:rPr>
          <w:rFonts w:hint="eastAsia" w:ascii="仿宋_GB2312" w:hAnsi="Times New Roman" w:eastAsia="仿宋_GB2312" w:cs="Times New Roman"/>
          <w:sz w:val="28"/>
          <w:szCs w:val="28"/>
          <w:lang w:val="en-US" w:eastAsia="zh-CN"/>
        </w:rPr>
      </w:pPr>
      <w:r>
        <w:rPr>
          <w:rFonts w:hint="eastAsia" w:ascii="仿宋_GB2312" w:eastAsia="仿宋_GB2312" w:cs="Times New Roman"/>
          <w:sz w:val="28"/>
          <w:szCs w:val="28"/>
          <w:lang w:val="en-US" w:eastAsia="zh-CN"/>
        </w:rPr>
        <w:t>6、</w:t>
      </w:r>
      <w:r>
        <w:rPr>
          <w:rFonts w:hint="eastAsia" w:ascii="仿宋_GB2312" w:hAnsi="Times New Roman" w:eastAsia="仿宋_GB2312" w:cs="Times New Roman"/>
          <w:sz w:val="28"/>
          <w:szCs w:val="28"/>
          <w:lang w:val="en-US" w:eastAsia="zh-CN"/>
        </w:rPr>
        <w:t>承担安置房源和周转房源的筹集、使用和管理等工作。</w:t>
      </w:r>
    </w:p>
    <w:p>
      <w:pPr>
        <w:tabs>
          <w:tab w:val="center" w:pos="6979"/>
        </w:tabs>
        <w:spacing w:line="580" w:lineRule="exact"/>
        <w:ind w:firstLine="420" w:firstLineChars="150"/>
        <w:rPr>
          <w:rFonts w:hint="eastAsia" w:ascii="仿宋_GB2312" w:hAnsi="Times New Roman" w:eastAsia="仿宋_GB2312" w:cs="Times New Roman"/>
          <w:sz w:val="28"/>
          <w:szCs w:val="28"/>
          <w:lang w:val="en-US" w:eastAsia="zh-CN"/>
        </w:rPr>
      </w:pPr>
      <w:r>
        <w:rPr>
          <w:rFonts w:hint="eastAsia" w:ascii="仿宋_GB2312" w:eastAsia="仿宋_GB2312" w:cs="Times New Roman"/>
          <w:sz w:val="28"/>
          <w:szCs w:val="28"/>
          <w:lang w:val="en-US" w:eastAsia="zh-CN"/>
        </w:rPr>
        <w:t>7、</w:t>
      </w:r>
      <w:r>
        <w:rPr>
          <w:rFonts w:hint="eastAsia" w:ascii="仿宋_GB2312" w:hAnsi="Times New Roman" w:eastAsia="仿宋_GB2312" w:cs="Times New Roman"/>
          <w:sz w:val="28"/>
          <w:szCs w:val="28"/>
          <w:lang w:val="en-US" w:eastAsia="zh-CN"/>
        </w:rPr>
        <w:t>承担房屋征收现场管理工作。</w:t>
      </w:r>
    </w:p>
    <w:p>
      <w:pPr>
        <w:tabs>
          <w:tab w:val="center" w:pos="6979"/>
        </w:tabs>
        <w:spacing w:line="580" w:lineRule="exact"/>
        <w:ind w:firstLine="420" w:firstLineChars="150"/>
        <w:rPr>
          <w:rFonts w:hint="eastAsia" w:ascii="仿宋_GB2312" w:hAnsi="Times New Roman" w:eastAsia="仿宋_GB2312" w:cs="Times New Roman"/>
          <w:sz w:val="28"/>
          <w:szCs w:val="28"/>
          <w:lang w:val="en-US" w:eastAsia="zh-CN"/>
        </w:rPr>
      </w:pPr>
      <w:r>
        <w:rPr>
          <w:rFonts w:hint="eastAsia" w:ascii="仿宋_GB2312" w:eastAsia="仿宋_GB2312" w:cs="Times New Roman"/>
          <w:sz w:val="28"/>
          <w:szCs w:val="28"/>
          <w:lang w:val="en-US" w:eastAsia="zh-CN"/>
        </w:rPr>
        <w:t>8、</w:t>
      </w:r>
      <w:r>
        <w:rPr>
          <w:rFonts w:hint="eastAsia" w:ascii="仿宋_GB2312" w:hAnsi="Times New Roman" w:eastAsia="仿宋_GB2312" w:cs="Times New Roman"/>
          <w:sz w:val="28"/>
          <w:szCs w:val="28"/>
          <w:lang w:val="en-US" w:eastAsia="zh-CN"/>
        </w:rPr>
        <w:t>承担房屋征收项目档</w:t>
      </w:r>
      <w:bookmarkStart w:id="3" w:name="_GoBack"/>
      <w:bookmarkEnd w:id="3"/>
      <w:r>
        <w:rPr>
          <w:rFonts w:hint="eastAsia" w:ascii="仿宋_GB2312" w:hAnsi="Times New Roman" w:eastAsia="仿宋_GB2312" w:cs="Times New Roman"/>
          <w:sz w:val="28"/>
          <w:szCs w:val="28"/>
          <w:lang w:val="en-US" w:eastAsia="zh-CN"/>
        </w:rPr>
        <w:t>案的管理。</w:t>
      </w:r>
    </w:p>
    <w:p>
      <w:pPr>
        <w:tabs>
          <w:tab w:val="center" w:pos="6979"/>
        </w:tabs>
        <w:spacing w:line="580" w:lineRule="exact"/>
        <w:ind w:firstLine="420" w:firstLineChars="150"/>
        <w:rPr>
          <w:rFonts w:hint="default" w:ascii="仿宋_GB2312" w:hAnsi="Times New Roman" w:eastAsia="仿宋_GB2312" w:cs="Times New Roman"/>
          <w:sz w:val="28"/>
          <w:szCs w:val="28"/>
          <w:lang w:val="en-US" w:eastAsia="zh-CN"/>
        </w:rPr>
      </w:pPr>
      <w:r>
        <w:rPr>
          <w:rFonts w:hint="eastAsia" w:ascii="仿宋_GB2312" w:eastAsia="仿宋_GB2312" w:cs="Times New Roman"/>
          <w:sz w:val="28"/>
          <w:szCs w:val="28"/>
          <w:lang w:val="en-US" w:eastAsia="zh-CN"/>
        </w:rPr>
        <w:t>9、</w:t>
      </w:r>
      <w:r>
        <w:rPr>
          <w:rFonts w:hint="eastAsia" w:ascii="仿宋_GB2312" w:hAnsi="Times New Roman" w:eastAsia="仿宋_GB2312" w:cs="Times New Roman"/>
          <w:sz w:val="28"/>
          <w:szCs w:val="28"/>
          <w:lang w:val="en-US" w:eastAsia="zh-CN"/>
        </w:rPr>
        <w:t>完成区委、区政府交办的其他工作。</w:t>
      </w:r>
    </w:p>
    <w:p>
      <w:pPr>
        <w:snapToGrid w:val="0"/>
        <w:spacing w:line="520" w:lineRule="exact"/>
        <w:ind w:firstLine="560" w:firstLineChars="200"/>
        <w:rPr>
          <w:rFonts w:hint="eastAsia" w:ascii="楷体_GB2312" w:hAnsi="仿宋" w:eastAsia="楷体_GB2312" w:cs="Times New Roman"/>
          <w:b w:val="0"/>
          <w:bCs/>
          <w:sz w:val="28"/>
          <w:szCs w:val="28"/>
          <w:highlight w:val="none"/>
          <w:u w:val="none"/>
          <w:lang w:val="en-US" w:eastAsia="zh-CN"/>
        </w:rPr>
      </w:pPr>
      <w:r>
        <w:rPr>
          <w:rFonts w:hint="eastAsia" w:ascii="楷体_GB2312" w:hAnsi="仿宋" w:eastAsia="楷体_GB2312" w:cs="Times New Roman"/>
          <w:b w:val="0"/>
          <w:bCs/>
          <w:sz w:val="28"/>
          <w:szCs w:val="28"/>
          <w:highlight w:val="none"/>
          <w:u w:val="none"/>
          <w:lang w:val="en-US" w:eastAsia="zh-CN"/>
        </w:rPr>
        <w:t>（二）机构情况</w:t>
      </w:r>
    </w:p>
    <w:p>
      <w:pPr>
        <w:tabs>
          <w:tab w:val="center" w:pos="6979"/>
        </w:tabs>
        <w:spacing w:line="580" w:lineRule="exact"/>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本中心属全额拨款事业单位,2024年机构数为1个，即本中心。</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2024年度收、支决算总计1232.94万元</w:t>
      </w:r>
      <w:r>
        <w:rPr>
          <w:rFonts w:hint="eastAsia" w:ascii="仿宋_GB2312" w:hAnsi="Times New Roman" w:eastAsia="仿宋_GB2312" w:cs="Times New Roman"/>
          <w:sz w:val="28"/>
          <w:szCs w:val="28"/>
          <w:lang w:val="en-US" w:eastAsia="zh-CN"/>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w:t>
      </w:r>
      <w:r>
        <w:rPr>
          <w:rFonts w:hint="eastAsia" w:ascii="仿宋_GB2312" w:eastAsia="仿宋_GB2312"/>
          <w:sz w:val="28"/>
          <w:szCs w:val="28"/>
          <w:lang w:eastAsia="zh-CN"/>
        </w:rPr>
        <w:t>决算</w:t>
      </w:r>
      <w:r>
        <w:rPr>
          <w:rFonts w:hint="eastAsia" w:ascii="仿宋_GB2312" w:eastAsia="仿宋_GB2312"/>
          <w:sz w:val="28"/>
          <w:szCs w:val="28"/>
        </w:rPr>
        <w:t>合计</w:t>
      </w:r>
      <w:r>
        <w:rPr>
          <w:rFonts w:ascii="仿宋_GB2312" w:eastAsia="仿宋_GB2312"/>
          <w:sz w:val="28"/>
          <w:szCs w:val="28"/>
        </w:rPr>
        <w:t>1232.94</w:t>
      </w:r>
      <w:r>
        <w:rPr>
          <w:rFonts w:hint="eastAsia" w:ascii="仿宋_GB2312" w:eastAsia="仿宋_GB2312"/>
          <w:sz w:val="28"/>
          <w:szCs w:val="28"/>
        </w:rPr>
        <w:t>万元</w:t>
      </w:r>
      <w:bookmarkStart w:id="0" w:name="OLE_LINK1"/>
      <w:r>
        <w:rPr>
          <w:rFonts w:hint="eastAsia" w:ascii="仿宋_GB2312" w:hAnsi="Times New Roman" w:eastAsia="仿宋_GB2312" w:cs="Times New Roman"/>
          <w:sz w:val="28"/>
          <w:szCs w:val="28"/>
          <w:lang w:val="en-US" w:eastAsia="zh-CN"/>
        </w:rPr>
        <w:t>。</w:t>
      </w:r>
    </w:p>
    <w:bookmarkEnd w:id="0"/>
    <w:p>
      <w:pPr>
        <w:tabs>
          <w:tab w:val="center" w:pos="6979"/>
        </w:tabs>
        <w:spacing w:line="580" w:lineRule="exact"/>
        <w:ind w:firstLine="560" w:firstLineChars="200"/>
        <w:rPr>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财政拨款收入</w:t>
      </w:r>
      <w:r>
        <w:rPr>
          <w:rFonts w:ascii="仿宋_GB2312" w:eastAsia="仿宋_GB2312"/>
          <w:sz w:val="28"/>
          <w:szCs w:val="28"/>
        </w:rPr>
        <w:t>1232.94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1232.94</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w:t>
      </w:r>
      <w:r>
        <w:rPr>
          <w:rFonts w:hint="eastAsia" w:ascii="仿宋_GB2312" w:eastAsia="仿宋_GB2312"/>
          <w:sz w:val="28"/>
          <w:szCs w:val="28"/>
        </w:rPr>
        <w:t>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w:t>
      </w:r>
      <w:r>
        <w:rPr>
          <w:rFonts w:hint="eastAsia" w:ascii="仿宋_GB2312" w:eastAsia="仿宋_GB2312"/>
          <w:sz w:val="28"/>
          <w:szCs w:val="28"/>
        </w:rPr>
        <w:t>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eastAsia="zh-CN"/>
        </w:rPr>
        <w:t>、</w:t>
      </w:r>
      <w:r>
        <w:rPr>
          <w:rFonts w:hint="eastAsia" w:ascii="仿宋_GB2312" w:eastAsia="仿宋_GB2312"/>
          <w:sz w:val="28"/>
          <w:szCs w:val="28"/>
        </w:rPr>
        <w:t>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pStyle w:val="2"/>
        <w:jc w:val="center"/>
        <w:rPr>
          <w:rFonts w:hint="eastAsia"/>
        </w:rPr>
      </w:pPr>
      <w:r>
        <w:rPr>
          <w:rFonts w:hint="eastAsia" w:ascii="仿宋_GB2312" w:eastAsia="仿宋_GB2312"/>
          <w:color w:val="000000"/>
          <w:sz w:val="32"/>
        </w:rPr>
        <w:t>图1：收入决算</w:t>
      </w:r>
    </w:p>
    <w:p>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w:t>
      </w:r>
      <w:r>
        <w:rPr>
          <w:rFonts w:hint="eastAsia" w:ascii="仿宋_GB2312" w:eastAsia="仿宋_GB2312"/>
          <w:sz w:val="28"/>
          <w:szCs w:val="28"/>
          <w:lang w:eastAsia="zh-CN"/>
        </w:rPr>
        <w:t>决算</w:t>
      </w:r>
      <w:r>
        <w:rPr>
          <w:rFonts w:hint="eastAsia" w:ascii="仿宋_GB2312" w:eastAsia="仿宋_GB2312"/>
          <w:sz w:val="28"/>
          <w:szCs w:val="28"/>
        </w:rPr>
        <w:t>合计</w:t>
      </w:r>
      <w:r>
        <w:rPr>
          <w:rFonts w:ascii="仿宋_GB2312" w:eastAsia="仿宋_GB2312"/>
          <w:sz w:val="28"/>
          <w:szCs w:val="28"/>
        </w:rPr>
        <w:t>1232.94</w:t>
      </w:r>
      <w:r>
        <w:rPr>
          <w:rFonts w:hint="eastAsia" w:ascii="仿宋_GB2312" w:eastAsia="仿宋_GB2312"/>
          <w:sz w:val="28"/>
          <w:szCs w:val="28"/>
        </w:rPr>
        <w:t>万元，其中：基本支出</w:t>
      </w:r>
      <w:r>
        <w:rPr>
          <w:rFonts w:ascii="仿宋_GB2312" w:eastAsia="仿宋_GB2312"/>
          <w:sz w:val="28"/>
          <w:szCs w:val="28"/>
        </w:rPr>
        <w:t>1166.36</w:t>
      </w:r>
      <w:r>
        <w:rPr>
          <w:rFonts w:hint="eastAsia" w:ascii="仿宋_GB2312" w:eastAsia="仿宋_GB2312"/>
          <w:sz w:val="28"/>
          <w:szCs w:val="28"/>
        </w:rPr>
        <w:t>万元，占支出合计的</w:t>
      </w:r>
      <w:r>
        <w:rPr>
          <w:rFonts w:hint="eastAsia" w:ascii="仿宋_GB2312" w:eastAsia="仿宋_GB2312"/>
          <w:sz w:val="28"/>
          <w:szCs w:val="28"/>
          <w:lang w:eastAsia="zh-CN"/>
        </w:rPr>
        <w:t>94.6</w:t>
      </w:r>
      <w:r>
        <w:rPr>
          <w:rFonts w:hint="eastAsia" w:ascii="仿宋_GB2312" w:eastAsia="仿宋_GB2312"/>
          <w:sz w:val="28"/>
          <w:szCs w:val="28"/>
        </w:rPr>
        <w:t>%；项目支出</w:t>
      </w:r>
      <w:r>
        <w:rPr>
          <w:rFonts w:ascii="仿宋_GB2312" w:eastAsia="仿宋_GB2312"/>
          <w:sz w:val="28"/>
          <w:szCs w:val="28"/>
        </w:rPr>
        <w:t>66.58</w:t>
      </w:r>
      <w:r>
        <w:rPr>
          <w:rFonts w:hint="eastAsia" w:ascii="仿宋_GB2312" w:eastAsia="仿宋_GB2312"/>
          <w:sz w:val="28"/>
          <w:szCs w:val="28"/>
        </w:rPr>
        <w:t>万元，占支出合计的</w:t>
      </w:r>
      <w:r>
        <w:rPr>
          <w:rFonts w:hint="eastAsia" w:ascii="仿宋_GB2312" w:eastAsia="仿宋_GB2312"/>
          <w:sz w:val="28"/>
          <w:szCs w:val="28"/>
          <w:lang w:eastAsia="zh-CN"/>
        </w:rPr>
        <w:t>5.4</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autoSpaceDE w:val="0"/>
        <w:autoSpaceDN w:val="0"/>
        <w:adjustRightInd w:val="0"/>
        <w:spacing w:line="58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1232.94</w:t>
      </w:r>
      <w:r>
        <w:rPr>
          <w:rFonts w:hint="eastAsia" w:ascii="仿宋_GB2312" w:eastAsia="仿宋_GB2312"/>
          <w:sz w:val="28"/>
          <w:szCs w:val="28"/>
        </w:rPr>
        <w:t>万元</w:t>
      </w:r>
      <w:r>
        <w:rPr>
          <w:rFonts w:hint="eastAsia" w:ascii="仿宋_GB2312" w:hAnsi="Times New Roman" w:eastAsia="仿宋_GB2312" w:cs="Times New Roman"/>
          <w:sz w:val="28"/>
          <w:szCs w:val="28"/>
          <w:lang w:val="en-US" w:eastAsia="zh-CN"/>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autoSpaceDE w:val="0"/>
        <w:autoSpaceDN w:val="0"/>
        <w:adjustRightInd w:val="0"/>
        <w:spacing w:line="580" w:lineRule="exact"/>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rPr>
        <w:t>202</w:t>
      </w:r>
      <w:r>
        <w:rPr>
          <w:rFonts w:hint="eastAsia" w:ascii="仿宋_GB2312" w:hAnsi="Times New Roman"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rPr>
        <w:t>年度一般公共预算财政拨款支出1232.94万元，主要用于以下方面（按大类）：</w:t>
      </w:r>
      <w:r>
        <w:rPr>
          <w:rFonts w:hint="eastAsia" w:ascii="仿宋_GB2312" w:hAnsi="Times New Roman" w:eastAsia="仿宋_GB2312" w:cs="Times New Roman"/>
          <w:color w:val="auto"/>
          <w:sz w:val="28"/>
          <w:szCs w:val="28"/>
          <w:lang w:val="en-US" w:eastAsia="zh-CN"/>
        </w:rPr>
        <w:t>社会保障和就业本年支出130.38万元，</w:t>
      </w:r>
      <w:r>
        <w:rPr>
          <w:rFonts w:hint="eastAsia" w:ascii="仿宋_GB2312" w:hAnsi="Times New Roman" w:eastAsia="仿宋_GB2312" w:cs="Times New Roman"/>
          <w:color w:val="auto"/>
          <w:sz w:val="28"/>
          <w:szCs w:val="28"/>
        </w:rPr>
        <w:t>占本年财政拨款支出</w:t>
      </w:r>
      <w:r>
        <w:rPr>
          <w:rFonts w:hint="eastAsia" w:ascii="仿宋_GB2312" w:hAnsi="Times New Roman" w:eastAsia="仿宋_GB2312" w:cs="Times New Roman"/>
          <w:color w:val="auto"/>
          <w:sz w:val="28"/>
          <w:szCs w:val="28"/>
          <w:lang w:val="en-US" w:eastAsia="zh-CN"/>
        </w:rPr>
        <w:t>10.58</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卫生健康支出本年92.36万</w:t>
      </w:r>
      <w:r>
        <w:rPr>
          <w:rFonts w:hint="eastAsia" w:ascii="仿宋_GB2312" w:hAnsi="Times New Roman" w:eastAsia="仿宋_GB2312" w:cs="Times New Roman"/>
          <w:color w:val="auto"/>
          <w:sz w:val="28"/>
          <w:szCs w:val="28"/>
        </w:rPr>
        <w:t>元</w:t>
      </w:r>
      <w:r>
        <w:rPr>
          <w:rFonts w:hint="eastAsia" w:ascii="仿宋_GB2312" w:hAnsi="Times New Roman" w:eastAsia="仿宋_GB2312" w:cs="Times New Roman"/>
          <w:color w:val="auto"/>
          <w:sz w:val="28"/>
          <w:szCs w:val="28"/>
          <w:lang w:val="en-US" w:eastAsia="zh-CN"/>
        </w:rPr>
        <w:t>，</w:t>
      </w:r>
      <w:r>
        <w:rPr>
          <w:rFonts w:hint="eastAsia" w:ascii="仿宋_GB2312" w:hAnsi="Times New Roman" w:eastAsia="仿宋_GB2312" w:cs="Times New Roman"/>
          <w:color w:val="auto"/>
          <w:sz w:val="28"/>
          <w:szCs w:val="28"/>
        </w:rPr>
        <w:t>占本年财政拨款支出</w:t>
      </w:r>
      <w:r>
        <w:rPr>
          <w:rFonts w:hint="eastAsia" w:ascii="仿宋_GB2312" w:hAnsi="Times New Roman" w:eastAsia="仿宋_GB2312" w:cs="Times New Roman"/>
          <w:color w:val="auto"/>
          <w:sz w:val="28"/>
          <w:szCs w:val="28"/>
          <w:lang w:val="en-US" w:eastAsia="zh-CN"/>
        </w:rPr>
        <w:t>7.49</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城乡社区支出本年822.87万</w:t>
      </w:r>
      <w:r>
        <w:rPr>
          <w:rFonts w:hint="eastAsia" w:ascii="仿宋_GB2312" w:hAnsi="Times New Roman" w:eastAsia="仿宋_GB2312" w:cs="Times New Roman"/>
          <w:color w:val="auto"/>
          <w:sz w:val="28"/>
          <w:szCs w:val="28"/>
        </w:rPr>
        <w:t>元</w:t>
      </w:r>
      <w:r>
        <w:rPr>
          <w:rFonts w:hint="eastAsia" w:ascii="仿宋_GB2312" w:hAnsi="Times New Roman" w:eastAsia="仿宋_GB2312" w:cs="Times New Roman"/>
          <w:color w:val="auto"/>
          <w:sz w:val="28"/>
          <w:szCs w:val="28"/>
          <w:lang w:val="en-US" w:eastAsia="zh-CN"/>
        </w:rPr>
        <w:t>，</w:t>
      </w:r>
      <w:r>
        <w:rPr>
          <w:rFonts w:hint="eastAsia" w:ascii="仿宋_GB2312" w:hAnsi="Times New Roman" w:eastAsia="仿宋_GB2312" w:cs="Times New Roman"/>
          <w:color w:val="auto"/>
          <w:sz w:val="28"/>
          <w:szCs w:val="28"/>
        </w:rPr>
        <w:t>占本年财政拨款支出</w:t>
      </w:r>
      <w:r>
        <w:rPr>
          <w:rFonts w:hint="eastAsia" w:ascii="仿宋_GB2312" w:hAnsi="Times New Roman" w:eastAsia="仿宋_GB2312" w:cs="Times New Roman"/>
          <w:color w:val="auto"/>
          <w:sz w:val="28"/>
          <w:szCs w:val="28"/>
          <w:lang w:val="en-US" w:eastAsia="zh-CN"/>
        </w:rPr>
        <w:t>66.74</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住房保障支出本年187.33万</w:t>
      </w:r>
      <w:r>
        <w:rPr>
          <w:rFonts w:hint="eastAsia" w:ascii="仿宋_GB2312" w:hAnsi="Times New Roman" w:eastAsia="仿宋_GB2312" w:cs="Times New Roman"/>
          <w:color w:val="auto"/>
          <w:sz w:val="28"/>
          <w:szCs w:val="28"/>
        </w:rPr>
        <w:t>元</w:t>
      </w:r>
      <w:r>
        <w:rPr>
          <w:rFonts w:hint="eastAsia" w:ascii="仿宋_GB2312" w:hAnsi="Times New Roman" w:eastAsia="仿宋_GB2312" w:cs="Times New Roman"/>
          <w:color w:val="auto"/>
          <w:sz w:val="28"/>
          <w:szCs w:val="28"/>
          <w:lang w:val="en-US" w:eastAsia="zh-CN"/>
        </w:rPr>
        <w:t>，</w:t>
      </w:r>
      <w:r>
        <w:rPr>
          <w:rFonts w:hint="eastAsia" w:ascii="仿宋_GB2312" w:hAnsi="Times New Roman" w:eastAsia="仿宋_GB2312" w:cs="Times New Roman"/>
          <w:color w:val="auto"/>
          <w:sz w:val="28"/>
          <w:szCs w:val="28"/>
        </w:rPr>
        <w:t>占本年财政拨款支出</w:t>
      </w:r>
      <w:r>
        <w:rPr>
          <w:rFonts w:hint="eastAsia" w:ascii="仿宋_GB2312" w:hAnsi="Times New Roman" w:eastAsia="仿宋_GB2312" w:cs="Times New Roman"/>
          <w:color w:val="auto"/>
          <w:sz w:val="28"/>
          <w:szCs w:val="28"/>
          <w:lang w:val="en-US" w:eastAsia="zh-CN"/>
        </w:rPr>
        <w:t>15.19</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社会保障和就业</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支出</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hAnsi="仿宋_GB2312" w:eastAsia="仿宋_GB2312" w:cs="仿宋_GB2312"/>
          <w:color w:val="auto"/>
          <w:sz w:val="28"/>
          <w:szCs w:val="28"/>
          <w:highlight w:val="none"/>
          <w:lang w:val="en-US" w:eastAsia="zh-CN"/>
        </w:rPr>
        <w:t>130.38</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完成比例</w:t>
      </w:r>
      <w:r>
        <w:rPr>
          <w:rFonts w:hint="eastAsia" w:ascii="仿宋_GB2312" w:eastAsia="仿宋_GB2312"/>
          <w:color w:val="auto"/>
          <w:sz w:val="28"/>
          <w:szCs w:val="28"/>
          <w:highlight w:val="none"/>
          <w:lang w:val="en-US" w:eastAsia="zh-CN"/>
        </w:rPr>
        <w:t>63.65%。</w:t>
      </w:r>
    </w:p>
    <w:p>
      <w:pPr>
        <w:spacing w:line="5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卫生健康</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支出</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hAnsi="仿宋_GB2312" w:eastAsia="仿宋_GB2312" w:cs="仿宋_GB2312"/>
          <w:color w:val="auto"/>
          <w:sz w:val="28"/>
          <w:szCs w:val="28"/>
          <w:highlight w:val="none"/>
          <w:lang w:val="en-US" w:eastAsia="zh-CN"/>
        </w:rPr>
        <w:t>92.36</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完成比例</w:t>
      </w:r>
      <w:r>
        <w:rPr>
          <w:rFonts w:hint="eastAsia" w:ascii="仿宋_GB2312" w:eastAsia="仿宋_GB2312"/>
          <w:color w:val="auto"/>
          <w:sz w:val="28"/>
          <w:szCs w:val="28"/>
          <w:highlight w:val="none"/>
          <w:lang w:val="en-US" w:eastAsia="zh-CN"/>
        </w:rPr>
        <w:t>84.87%。</w:t>
      </w:r>
    </w:p>
    <w:p>
      <w:pPr>
        <w:autoSpaceDE w:val="0"/>
        <w:autoSpaceDN w:val="0"/>
        <w:adjustRightInd w:val="0"/>
        <w:spacing w:line="58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w:t>
      </w:r>
      <w:bookmarkStart w:id="1" w:name="OLE_LINK3"/>
      <w:r>
        <w:rPr>
          <w:rFonts w:hint="eastAsia" w:ascii="仿宋_GB2312" w:eastAsia="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城乡社区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支出</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hAnsi="仿宋_GB2312" w:eastAsia="仿宋_GB2312" w:cs="仿宋_GB2312"/>
          <w:color w:val="auto"/>
          <w:sz w:val="28"/>
          <w:szCs w:val="28"/>
          <w:highlight w:val="none"/>
          <w:lang w:val="en-US" w:eastAsia="zh-CN"/>
        </w:rPr>
        <w:t>822.87</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完成比例</w:t>
      </w:r>
      <w:r>
        <w:rPr>
          <w:rFonts w:hint="eastAsia" w:ascii="仿宋_GB2312" w:eastAsia="仿宋_GB2312"/>
          <w:color w:val="auto"/>
          <w:sz w:val="28"/>
          <w:szCs w:val="28"/>
          <w:highlight w:val="none"/>
          <w:lang w:val="en-US" w:eastAsia="zh-CN"/>
        </w:rPr>
        <w:t>75.13%。</w:t>
      </w:r>
      <w:bookmarkEnd w:id="1"/>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住房保障</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支出</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hAnsi="仿宋_GB2312" w:eastAsia="仿宋_GB2312" w:cs="仿宋_GB2312"/>
          <w:color w:val="auto"/>
          <w:sz w:val="28"/>
          <w:szCs w:val="28"/>
          <w:highlight w:val="none"/>
          <w:lang w:val="en-US" w:eastAsia="zh-CN"/>
        </w:rPr>
        <w:t>187.33</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完成比例</w:t>
      </w:r>
      <w:r>
        <w:rPr>
          <w:rFonts w:hint="eastAsia" w:ascii="仿宋_GB2312" w:eastAsia="仿宋_GB2312"/>
          <w:color w:val="auto"/>
          <w:sz w:val="28"/>
          <w:szCs w:val="28"/>
          <w:highlight w:val="none"/>
          <w:lang w:val="en-US" w:eastAsia="zh-CN"/>
        </w:rPr>
        <w:t>96.59%。</w:t>
      </w:r>
    </w:p>
    <w:p>
      <w:pPr>
        <w:tabs>
          <w:tab w:val="center" w:pos="6979"/>
        </w:tabs>
        <w:spacing w:line="580" w:lineRule="exact"/>
        <w:ind w:firstLine="560" w:firstLineChars="200"/>
        <w:rPr>
          <w:rFonts w:hint="eastAsia" w:ascii="黑体" w:eastAsia="黑体"/>
          <w:b/>
          <w:sz w:val="28"/>
          <w:szCs w:val="28"/>
        </w:rPr>
      </w:pPr>
      <w:r>
        <w:rPr>
          <w:rFonts w:hint="eastAsia" w:ascii="黑体" w:eastAsia="黑体"/>
          <w:b/>
          <w:sz w:val="28"/>
          <w:szCs w:val="28"/>
        </w:rPr>
        <w:t>五、政府性基金预算财政拨款支出决算情况说明</w:t>
      </w:r>
    </w:p>
    <w:p>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2024</w:t>
      </w:r>
      <w:r>
        <w:rPr>
          <w:rFonts w:hint="eastAsia" w:ascii="仿宋_GB2312" w:eastAsia="仿宋_GB2312"/>
          <w:sz w:val="28"/>
          <w:szCs w:val="28"/>
        </w:rPr>
        <w:t>年度政府性基金预算财政拨款</w:t>
      </w:r>
      <w:r>
        <w:rPr>
          <w:rFonts w:hint="eastAsia" w:ascii="仿宋_GB2312" w:eastAsia="仿宋_GB2312"/>
          <w:sz w:val="28"/>
          <w:szCs w:val="28"/>
          <w:lang w:eastAsia="zh-CN"/>
        </w:rPr>
        <w:t>收入总计</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政府性基金预算财政拨款支出</w:t>
      </w:r>
      <w:r>
        <w:rPr>
          <w:rFonts w:hint="eastAsia" w:ascii="仿宋_GB2312" w:eastAsia="仿宋_GB2312"/>
          <w:sz w:val="28"/>
          <w:szCs w:val="28"/>
          <w:lang w:eastAsia="zh-CN"/>
        </w:rPr>
        <w:t>总计</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，无此项支出。</w:t>
      </w:r>
    </w:p>
    <w:p>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r>
        <w:rPr>
          <w:rFonts w:hint="eastAsia" w:ascii="仿宋_GB2312" w:eastAsia="仿宋_GB2312"/>
          <w:sz w:val="28"/>
          <w:szCs w:val="28"/>
          <w:lang w:eastAsia="zh-CN"/>
        </w:rPr>
        <w:t>，无此项支出</w:t>
      </w:r>
      <w:r>
        <w:rPr>
          <w:rFonts w:hint="eastAsia" w:ascii="仿宋_GB2312" w:eastAsia="仿宋_GB2312"/>
          <w:sz w:val="28"/>
          <w:szCs w:val="28"/>
        </w:rPr>
        <w:t>。</w:t>
      </w:r>
    </w:p>
    <w:p>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年度使用一般公共预算财政拨款安排基本支出</w:t>
      </w:r>
      <w:r>
        <w:rPr>
          <w:rFonts w:ascii="仿宋_GB2312" w:eastAsia="仿宋_GB2312"/>
          <w:sz w:val="28"/>
          <w:szCs w:val="28"/>
        </w:rPr>
        <w:t>1166.36</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keepNext w:val="0"/>
        <w:keepLines w:val="0"/>
        <w:pageBreakBefore w:val="0"/>
        <w:widowControl w:val="0"/>
        <w:kinsoku/>
        <w:wordWrap/>
        <w:overflowPunct/>
        <w:topLinePunct w:val="0"/>
        <w:autoSpaceDE w:val="0"/>
        <w:autoSpaceDN w:val="0"/>
        <w:bidi w:val="0"/>
        <w:adjustRightInd w:val="0"/>
        <w:snapToGrid/>
        <w:spacing w:line="720" w:lineRule="auto"/>
        <w:jc w:val="center"/>
        <w:textAlignment w:val="auto"/>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lang w:eastAsia="zh-CN"/>
        </w:rPr>
        <w:t>2024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eastAsia="黑体"/>
          <w:sz w:val="28"/>
          <w:szCs w:val="28"/>
        </w:rPr>
      </w:pPr>
      <w:r>
        <w:rPr>
          <w:rFonts w:hint="eastAsia" w:ascii="黑体" w:eastAsia="黑体"/>
          <w:sz w:val="28"/>
          <w:szCs w:val="28"/>
        </w:rPr>
        <w:t>一、“三公”经费财政拨款决算情况</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对</w:t>
      </w:r>
      <w:r>
        <w:rPr>
          <w:rFonts w:hint="eastAsia" w:ascii="仿宋_GB2312" w:eastAsia="仿宋_GB2312"/>
          <w:sz w:val="28"/>
          <w:szCs w:val="28"/>
        </w:rPr>
        <w:t>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，无变化。</w:t>
      </w:r>
      <w:r>
        <w:rPr>
          <w:rFonts w:hint="eastAsia" w:ascii="仿宋_GB2312" w:eastAsia="仿宋_GB2312"/>
          <w:sz w:val="28"/>
          <w:szCs w:val="28"/>
        </w:rPr>
        <w:t>其中：</w:t>
      </w:r>
    </w:p>
    <w:p>
      <w:pPr>
        <w:numPr>
          <w:ilvl w:val="0"/>
          <w:numId w:val="0"/>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对</w:t>
      </w:r>
      <w:r>
        <w:rPr>
          <w:rFonts w:hint="eastAsia" w:ascii="仿宋_GB2312" w:eastAsia="仿宋_GB2312"/>
          <w:sz w:val="28"/>
          <w:szCs w:val="28"/>
        </w:rPr>
        <w:t>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，无变化。</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0</w:t>
      </w:r>
      <w:r>
        <w:rPr>
          <w:rFonts w:hint="eastAsia" w:ascii="仿宋_GB2312" w:eastAsia="仿宋_GB2312"/>
          <w:sz w:val="28"/>
          <w:szCs w:val="28"/>
        </w:rPr>
        <w:t>个、</w:t>
      </w:r>
      <w:r>
        <w:rPr>
          <w:rFonts w:hint="eastAsia" w:ascii="仿宋_GB2312" w:eastAsia="仿宋_GB2312"/>
          <w:sz w:val="28"/>
          <w:szCs w:val="28"/>
          <w:lang w:eastAsia="zh-CN"/>
        </w:rPr>
        <w:t>0</w:t>
      </w:r>
      <w:r>
        <w:rPr>
          <w:rFonts w:hint="eastAsia" w:ascii="仿宋_GB2312" w:eastAsia="仿宋_GB2312"/>
          <w:sz w:val="28"/>
          <w:szCs w:val="28"/>
        </w:rPr>
        <w:t>人次，人均因公出国（境）费用</w:t>
      </w:r>
      <w:r>
        <w:rPr>
          <w:rFonts w:ascii="仿宋_GB2312" w:eastAsia="仿宋_GB2312"/>
          <w:sz w:val="28"/>
          <w:szCs w:val="28"/>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，无变化。</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年度公务接待</w:t>
      </w:r>
      <w:r>
        <w:rPr>
          <w:rFonts w:hint="eastAsia" w:ascii="仿宋_GB2312" w:eastAsia="仿宋_GB2312"/>
          <w:sz w:val="28"/>
          <w:szCs w:val="28"/>
          <w:lang w:eastAsia="zh-CN"/>
        </w:rPr>
        <w:t>0</w:t>
      </w:r>
      <w:r>
        <w:rPr>
          <w:rFonts w:hint="eastAsia" w:ascii="仿宋_GB2312" w:eastAsia="仿宋_GB2312"/>
          <w:sz w:val="28"/>
          <w:szCs w:val="28"/>
        </w:rPr>
        <w:t>批次，公务接待</w:t>
      </w:r>
      <w:r>
        <w:rPr>
          <w:rFonts w:hint="eastAsia" w:ascii="仿宋_GB2312" w:eastAsia="仿宋_GB2312"/>
          <w:sz w:val="28"/>
          <w:szCs w:val="28"/>
          <w:lang w:eastAsia="zh-CN"/>
        </w:rPr>
        <w:t>0</w:t>
      </w:r>
      <w:r>
        <w:rPr>
          <w:rFonts w:hint="eastAsia" w:ascii="仿宋_GB2312" w:eastAsia="仿宋_GB2312"/>
          <w:sz w:val="28"/>
          <w:szCs w:val="28"/>
        </w:rPr>
        <w:t>人次。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，无变化。</w:t>
      </w:r>
      <w:r>
        <w:rPr>
          <w:rFonts w:hint="eastAsia" w:ascii="仿宋_GB2312" w:eastAsia="仿宋_GB2312"/>
          <w:sz w:val="28"/>
          <w:szCs w:val="28"/>
        </w:rPr>
        <w:t>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辆，车均购置费</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，无变化。2024</w:t>
      </w:r>
      <w:r>
        <w:rPr>
          <w:rFonts w:hint="eastAsia" w:ascii="仿宋_GB2312" w:eastAsia="仿宋_GB2312"/>
          <w:sz w:val="28"/>
          <w:szCs w:val="28"/>
        </w:rPr>
        <w:t>年度公务用车运行维护费中，公务用车加油</w:t>
      </w:r>
      <w:r>
        <w:rPr>
          <w:rFonts w:ascii="仿宋_GB2312" w:eastAsia="仿宋_GB2312"/>
          <w:sz w:val="28"/>
          <w:szCs w:val="28"/>
        </w:rPr>
        <w:t>0</w:t>
      </w:r>
      <w:r>
        <w:rPr>
          <w:rFonts w:hint="eastAsia" w:ascii="仿宋_GB2312" w:eastAsia="仿宋_GB2312"/>
          <w:sz w:val="28"/>
          <w:szCs w:val="28"/>
        </w:rPr>
        <w:t>万元，公务用车维修</w:t>
      </w:r>
      <w:r>
        <w:rPr>
          <w:rFonts w:ascii="仿宋_GB2312" w:eastAsia="仿宋_GB2312"/>
          <w:sz w:val="28"/>
          <w:szCs w:val="28"/>
        </w:rPr>
        <w:t>0</w:t>
      </w:r>
      <w:r>
        <w:rPr>
          <w:rFonts w:hint="eastAsia" w:ascii="仿宋_GB2312" w:eastAsia="仿宋_GB2312"/>
          <w:sz w:val="28"/>
          <w:szCs w:val="28"/>
        </w:rPr>
        <w:t>万元，公务用车保险</w:t>
      </w:r>
      <w:r>
        <w:rPr>
          <w:rFonts w:ascii="仿宋_GB2312" w:eastAsia="仿宋_GB2312"/>
          <w:sz w:val="28"/>
          <w:szCs w:val="28"/>
        </w:rPr>
        <w:t>0</w:t>
      </w:r>
      <w:r>
        <w:rPr>
          <w:rFonts w:hint="eastAsia" w:ascii="仿宋_GB2312" w:eastAsia="仿宋_GB2312"/>
          <w:sz w:val="28"/>
          <w:szCs w:val="28"/>
        </w:rPr>
        <w:t>万元，公务用车其他支出</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年度公务用车保有量</w:t>
      </w:r>
      <w:r>
        <w:rPr>
          <w:rFonts w:ascii="仿宋_GB2312" w:eastAsia="仿宋_GB2312"/>
          <w:sz w:val="28"/>
          <w:szCs w:val="28"/>
          <w:highlight w:val="none"/>
        </w:rPr>
        <w:t>0</w:t>
      </w:r>
      <w:r>
        <w:rPr>
          <w:rFonts w:hint="eastAsia" w:ascii="仿宋_GB2312" w:eastAsia="仿宋_GB2312"/>
          <w:sz w:val="28"/>
          <w:szCs w:val="28"/>
          <w:highlight w:val="none"/>
        </w:rPr>
        <w:t>辆，车</w:t>
      </w:r>
      <w:r>
        <w:rPr>
          <w:rFonts w:hint="eastAsia" w:ascii="仿宋_GB2312" w:eastAsia="仿宋_GB2312"/>
          <w:sz w:val="28"/>
          <w:szCs w:val="28"/>
        </w:rPr>
        <w:t>均运行维护费</w:t>
      </w:r>
      <w:r>
        <w:rPr>
          <w:rFonts w:ascii="仿宋_GB2312" w:eastAsia="仿宋_GB2312"/>
          <w:sz w:val="28"/>
          <w:szCs w:val="28"/>
        </w:rPr>
        <w:t>0</w:t>
      </w:r>
      <w:r>
        <w:rPr>
          <w:rFonts w:hint="eastAsia" w:ascii="仿宋_GB2312" w:eastAsia="仿宋_GB2312"/>
          <w:sz w:val="28"/>
          <w:szCs w:val="28"/>
        </w:rPr>
        <w:t>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hint="eastAsia" w:ascii="仿宋_GB2312" w:hAnsi="Times New Roman" w:eastAsia="仿宋_GB2312" w:cs="Times New Roman"/>
          <w:sz w:val="28"/>
          <w:szCs w:val="28"/>
          <w:lang w:eastAsia="zh-CN"/>
        </w:rPr>
      </w:pPr>
      <w:bookmarkStart w:id="2" w:name="OLE_LINK2"/>
      <w:r>
        <w:rPr>
          <w:rFonts w:hint="eastAsia" w:ascii="仿宋_GB2312" w:hAnsi="Times New Roman" w:eastAsia="仿宋_GB2312" w:cs="Times New Roman"/>
          <w:sz w:val="28"/>
          <w:szCs w:val="28"/>
          <w:lang w:eastAsia="zh-CN"/>
        </w:rPr>
        <w:t>2024</w:t>
      </w:r>
      <w:r>
        <w:rPr>
          <w:rFonts w:hint="eastAsia" w:ascii="仿宋_GB2312" w:hAnsi="Times New Roman" w:eastAsia="仿宋_GB2312" w:cs="Times New Roman"/>
          <w:sz w:val="28"/>
          <w:szCs w:val="28"/>
        </w:rPr>
        <w:t>年度使用财政拨款安排的基本支出中的日常公用经费支出，合计</w:t>
      </w:r>
      <w:r>
        <w:rPr>
          <w:rFonts w:hint="eastAsia" w:ascii="仿宋_GB2312" w:hAnsi="Times New Roman" w:eastAsia="仿宋_GB2312" w:cs="Times New Roman"/>
          <w:sz w:val="28"/>
          <w:szCs w:val="28"/>
          <w:lang w:val="en-US" w:eastAsia="zh-CN"/>
        </w:rPr>
        <w:t>35.59</w:t>
      </w:r>
      <w:r>
        <w:rPr>
          <w:rFonts w:hint="eastAsia" w:ascii="仿宋_GB2312" w:hAnsi="Times New Roman" w:eastAsia="仿宋_GB2312" w:cs="Times New Roman"/>
          <w:sz w:val="28"/>
          <w:szCs w:val="28"/>
        </w:rPr>
        <w:t>万元</w:t>
      </w:r>
      <w:bookmarkEnd w:id="2"/>
      <w:r>
        <w:rPr>
          <w:rFonts w:hint="eastAsia" w:ascii="仿宋_GB2312" w:eastAsia="仿宋_GB2312" w:cs="Times New Roman"/>
          <w:sz w:val="28"/>
          <w:szCs w:val="28"/>
          <w:lang w:eastAsia="zh-CN"/>
        </w:rPr>
        <w:t>。</w:t>
      </w:r>
    </w:p>
    <w:p>
      <w:pPr>
        <w:ind w:left="540"/>
        <w:rPr>
          <w:rFonts w:ascii="黑体" w:eastAsia="黑体"/>
          <w:sz w:val="28"/>
          <w:szCs w:val="28"/>
          <w:highlight w:val="none"/>
        </w:rPr>
      </w:pPr>
      <w:r>
        <w:rPr>
          <w:rFonts w:hint="eastAsia" w:ascii="黑体" w:eastAsia="黑体"/>
          <w:sz w:val="28"/>
          <w:szCs w:val="28"/>
          <w:highlight w:val="none"/>
        </w:rPr>
        <w:t>三、政府采购支出情况</w:t>
      </w:r>
    </w:p>
    <w:p>
      <w:pPr>
        <w:ind w:firstLine="560" w:firstLineChars="200"/>
        <w:jc w:val="both"/>
        <w:rPr>
          <w:rFonts w:hint="eastAsia" w:ascii="仿宋_GB2312" w:eastAsia="仿宋_GB2312"/>
          <w:sz w:val="28"/>
          <w:szCs w:val="28"/>
          <w:highlight w:val="yellow"/>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7.67</w:t>
      </w:r>
      <w:r>
        <w:rPr>
          <w:rFonts w:hint="eastAsia" w:ascii="仿宋_GB2312" w:eastAsia="仿宋_GB2312"/>
          <w:sz w:val="28"/>
          <w:szCs w:val="28"/>
        </w:rPr>
        <w:t>万元，其中：政府采购货物支出</w:t>
      </w:r>
      <w:r>
        <w:rPr>
          <w:rFonts w:ascii="仿宋_GB2312" w:eastAsia="仿宋_GB2312"/>
          <w:sz w:val="28"/>
          <w:szCs w:val="28"/>
        </w:rPr>
        <w:t>7.67</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ascii="仿宋_GB2312" w:eastAsia="仿宋_GB2312"/>
          <w:sz w:val="28"/>
          <w:szCs w:val="28"/>
        </w:rPr>
        <w:t>7.67</w:t>
      </w:r>
      <w:r>
        <w:rPr>
          <w:rFonts w:hint="eastAsia" w:ascii="仿宋_GB2312" w:eastAsia="仿宋_GB2312"/>
          <w:sz w:val="28"/>
          <w:szCs w:val="28"/>
        </w:rPr>
        <w:t>万元，占政府采购支出总额的</w:t>
      </w:r>
      <w:r>
        <w:rPr>
          <w:rFonts w:hint="eastAsia" w:ascii="仿宋_GB2312" w:eastAsia="仿宋_GB2312"/>
          <w:sz w:val="28"/>
          <w:szCs w:val="28"/>
          <w:lang w:eastAsia="zh-CN"/>
        </w:rPr>
        <w:t>100</w:t>
      </w:r>
      <w:r>
        <w:rPr>
          <w:rFonts w:hint="eastAsia" w:ascii="仿宋_GB2312" w:eastAsia="仿宋_GB2312"/>
          <w:sz w:val="28"/>
          <w:szCs w:val="28"/>
        </w:rPr>
        <w:t>%，</w:t>
      </w:r>
      <w:r>
        <w:rPr>
          <w:rFonts w:hint="eastAsia" w:ascii="仿宋_GB2312" w:eastAsia="仿宋_GB2312"/>
          <w:sz w:val="28"/>
          <w:szCs w:val="28"/>
          <w:lang w:eastAsia="zh-CN"/>
        </w:rPr>
        <w:t>其中：授予小微企业合同金额</w:t>
      </w:r>
      <w:r>
        <w:rPr>
          <w:rFonts w:hint="eastAsia" w:ascii="仿宋_GB2312" w:eastAsia="仿宋_GB2312"/>
          <w:sz w:val="28"/>
          <w:szCs w:val="28"/>
        </w:rPr>
        <w:t>7.67万元，占政府采购支出总额的</w:t>
      </w:r>
      <w:r>
        <w:rPr>
          <w:rFonts w:ascii="仿宋_GB2312" w:eastAsia="仿宋_GB2312"/>
          <w:sz w:val="28"/>
          <w:szCs w:val="28"/>
        </w:rPr>
        <w:t>100</w:t>
      </w:r>
      <w:r>
        <w:rPr>
          <w:rFonts w:hint="eastAsia" w:ascii="仿宋_GB2312" w:eastAsia="仿宋_GB2312"/>
          <w:sz w:val="28"/>
          <w:szCs w:val="28"/>
        </w:rPr>
        <w:t>%。</w:t>
      </w:r>
    </w:p>
    <w:p>
      <w:pPr>
        <w:ind w:firstLine="560" w:firstLineChars="200"/>
        <w:rPr>
          <w:rFonts w:ascii="黑体" w:eastAsia="黑体"/>
          <w:sz w:val="28"/>
          <w:szCs w:val="28"/>
          <w:highlight w:val="none"/>
        </w:rPr>
      </w:pPr>
      <w:r>
        <w:rPr>
          <w:rFonts w:hint="eastAsia" w:ascii="黑体" w:eastAsia="黑体"/>
          <w:sz w:val="28"/>
          <w:szCs w:val="28"/>
          <w:highlight w:val="none"/>
        </w:rPr>
        <w:t>四、国有资产占用情况</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截至</w:t>
      </w:r>
      <w:r>
        <w:rPr>
          <w:rFonts w:hint="eastAsia" w:ascii="仿宋_GB2312" w:eastAsia="仿宋_GB2312"/>
          <w:sz w:val="28"/>
          <w:szCs w:val="28"/>
          <w:highlight w:val="none"/>
          <w:lang w:eastAsia="zh-CN"/>
        </w:rPr>
        <w:t>2024</w:t>
      </w:r>
      <w:r>
        <w:rPr>
          <w:rFonts w:hint="eastAsia" w:ascii="仿宋_GB2312" w:eastAsia="仿宋_GB2312"/>
          <w:sz w:val="28"/>
          <w:szCs w:val="28"/>
          <w:highlight w:val="none"/>
        </w:rPr>
        <w:t>年12月31日，部门共有车辆</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台，共计</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万元；单位价值100万元（含）以上的设备</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台（套），共计</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政府购买服务决算0</w:t>
      </w:r>
      <w:r>
        <w:rPr>
          <w:rFonts w:hint="eastAsia" w:ascii="仿宋_GB2312" w:eastAsia="仿宋_GB2312"/>
          <w:sz w:val="28"/>
          <w:szCs w:val="28"/>
        </w:rPr>
        <w:t>万元</w:t>
      </w:r>
      <w:r>
        <w:rPr>
          <w:rFonts w:hint="eastAsia" w:ascii="仿宋_GB2312" w:eastAsia="仿宋_GB2312"/>
          <w:sz w:val="28"/>
          <w:szCs w:val="28"/>
          <w:lang w:eastAsia="zh-CN"/>
        </w:rPr>
        <w:t>，，无此项支出</w:t>
      </w:r>
      <w:r>
        <w:rPr>
          <w:rFonts w:hint="eastAsia" w:ascii="仿宋_GB2312" w:eastAsia="仿宋_GB2312"/>
          <w:sz w:val="28"/>
          <w:szCs w:val="28"/>
        </w:rPr>
        <w:t>。</w:t>
      </w:r>
    </w:p>
    <w:p>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项目支出：指在基本支出之外为完成特定行政任务或事业发展目标所发生的支出。</w:t>
      </w:r>
    </w:p>
    <w:p>
      <w:pPr>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ascii="仿宋_GB2312" w:hAnsi="宋体"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552" w:firstLineChars="200"/>
        <w:rPr>
          <w:rFonts w:ascii="仿宋_GB2312" w:eastAsia="仿宋_GB2312"/>
          <w:b/>
          <w:color w:val="000000"/>
          <w:spacing w:val="-2"/>
          <w:sz w:val="28"/>
          <w:szCs w:val="28"/>
        </w:rPr>
      </w:pPr>
      <w:r>
        <w:rPr>
          <w:rFonts w:hint="eastAsia" w:ascii="仿宋_GB2312" w:eastAsia="仿宋_GB2312"/>
          <w:b/>
          <w:color w:val="000000"/>
          <w:spacing w:val="-2"/>
          <w:sz w:val="28"/>
          <w:szCs w:val="28"/>
        </w:rPr>
        <w:t>7</w:t>
      </w:r>
      <w:r>
        <w:rPr>
          <w:rFonts w:hint="eastAsia" w:ascii="仿宋_GB2312" w:eastAsia="仿宋_GB2312"/>
          <w:b/>
          <w:color w:val="000000"/>
          <w:spacing w:val="-2"/>
          <w:sz w:val="28"/>
          <w:szCs w:val="28"/>
          <w:lang w:eastAsia="zh-CN"/>
        </w:rPr>
        <w:t>、</w:t>
      </w:r>
      <w:r>
        <w:rPr>
          <w:rFonts w:hint="eastAsia" w:ascii="仿宋_GB2312" w:eastAsia="仿宋_GB2312"/>
          <w:b/>
          <w:color w:val="000000"/>
          <w:spacing w:val="-2"/>
          <w:sz w:val="28"/>
          <w:szCs w:val="28"/>
        </w:rPr>
        <w:t>各单位需根据自身业务职能，补充当年使用的所有支出功能分类项级科目名词解释，例如：</w:t>
      </w:r>
    </w:p>
    <w:p>
      <w:pPr>
        <w:ind w:firstLine="552" w:firstLineChars="200"/>
        <w:rPr>
          <w:rFonts w:ascii="仿宋_GB2312" w:eastAsia="仿宋_GB2312"/>
          <w:sz w:val="28"/>
          <w:szCs w:val="28"/>
        </w:rPr>
      </w:pPr>
      <w:r>
        <w:rPr>
          <w:rFonts w:hint="eastAsia" w:ascii="仿宋_GB2312" w:eastAsia="仿宋_GB2312"/>
          <w:b/>
          <w:color w:val="000000"/>
          <w:spacing w:val="-2"/>
          <w:sz w:val="28"/>
          <w:szCs w:val="28"/>
        </w:rPr>
        <w:t>一般公共服务支出（类）人大事务（款）行政运行（项）：反映行政单位（包括实行公务员管理的事业单位）的基本支出</w:t>
      </w:r>
      <w:r>
        <w:rPr>
          <w:rFonts w:hint="eastAsia" w:ascii="仿宋_GB2312" w:eastAsia="仿宋_GB2312"/>
          <w:sz w:val="28"/>
          <w:szCs w:val="28"/>
        </w:rPr>
        <w:t>。</w:t>
      </w:r>
    </w:p>
    <w:p>
      <w:pPr>
        <w:rPr>
          <w:rFonts w:ascii="仿宋_GB2312" w:eastAsia="仿宋_GB2312"/>
          <w:sz w:val="28"/>
          <w:szCs w:val="28"/>
        </w:rPr>
      </w:pPr>
    </w:p>
    <w:p>
      <w:pPr>
        <w:ind w:firstLine="632" w:firstLineChars="200"/>
        <w:rPr>
          <w:rFonts w:ascii="仿宋_GB2312" w:eastAsia="仿宋_GB2312"/>
          <w:b/>
          <w:color w:val="000000"/>
          <w:spacing w:val="-2"/>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2024</w:t>
      </w:r>
      <w:r>
        <w:rPr>
          <w:rFonts w:hint="eastAsia" w:ascii="黑体" w:eastAsia="黑体"/>
          <w:sz w:val="32"/>
          <w:szCs w:val="32"/>
        </w:rPr>
        <w:t>年度部门绩效评价情况</w:t>
      </w:r>
    </w:p>
    <w:p>
      <w:pPr>
        <w:ind w:firstLine="560" w:firstLineChars="200"/>
        <w:rPr>
          <w:rFonts w:ascii="黑体" w:eastAsia="黑体"/>
          <w:sz w:val="28"/>
          <w:szCs w:val="28"/>
          <w:highlight w:val="yellow"/>
        </w:rPr>
      </w:pPr>
    </w:p>
    <w:p>
      <w:pPr>
        <w:ind w:firstLine="560" w:firstLineChars="200"/>
        <w:rPr>
          <w:rFonts w:ascii="黑体" w:eastAsia="黑体"/>
          <w:sz w:val="28"/>
          <w:szCs w:val="28"/>
        </w:rPr>
      </w:pPr>
      <w:r>
        <w:rPr>
          <w:rFonts w:hint="eastAsia" w:ascii="黑体" w:eastAsia="黑体"/>
          <w:sz w:val="28"/>
          <w:szCs w:val="28"/>
        </w:rPr>
        <w:t>一、部门整体绩效评价报告（详见附件</w:t>
      </w:r>
      <w:r>
        <w:rPr>
          <w:rFonts w:hint="eastAsia" w:ascii="黑体" w:eastAsia="黑体"/>
          <w:sz w:val="28"/>
          <w:szCs w:val="28"/>
          <w:lang w:eastAsia="zh-CN"/>
        </w:rPr>
        <w:t>二</w:t>
      </w:r>
      <w:r>
        <w:rPr>
          <w:rFonts w:hint="eastAsia" w:ascii="黑体" w:eastAsia="黑体"/>
          <w:sz w:val="28"/>
          <w:szCs w:val="28"/>
        </w:rPr>
        <w:t>）</w:t>
      </w:r>
    </w:p>
    <w:p>
      <w:pPr>
        <w:ind w:firstLine="560" w:firstLineChars="200"/>
        <w:rPr>
          <w:rFonts w:ascii="黑体" w:eastAsia="黑体"/>
          <w:sz w:val="28"/>
          <w:szCs w:val="28"/>
        </w:rPr>
      </w:pPr>
      <w:r>
        <w:rPr>
          <w:rFonts w:hint="eastAsia" w:ascii="黑体" w:eastAsia="黑体"/>
          <w:sz w:val="28"/>
          <w:szCs w:val="28"/>
        </w:rPr>
        <w:t>二、项目支出绩效评价报告（详见附件</w:t>
      </w:r>
      <w:r>
        <w:rPr>
          <w:rFonts w:hint="eastAsia" w:ascii="黑体" w:eastAsia="黑体"/>
          <w:sz w:val="28"/>
          <w:szCs w:val="28"/>
          <w:lang w:eastAsia="zh-CN"/>
        </w:rPr>
        <w:t>三</w:t>
      </w:r>
      <w:r>
        <w:rPr>
          <w:rFonts w:hint="eastAsia" w:ascii="黑体" w:eastAsia="黑体"/>
          <w:sz w:val="28"/>
          <w:szCs w:val="28"/>
        </w:rPr>
        <w:t>）</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rPr>
        <w:t>（详见附件</w:t>
      </w:r>
      <w:r>
        <w:rPr>
          <w:rFonts w:hint="eastAsia" w:ascii="黑体" w:eastAsia="黑体"/>
          <w:sz w:val="28"/>
          <w:szCs w:val="28"/>
          <w:lang w:eastAsia="zh-CN"/>
        </w:rPr>
        <w:t>四</w:t>
      </w:r>
      <w:r>
        <w:rPr>
          <w:rFonts w:hint="eastAsia" w:ascii="黑体" w:eastAsia="黑体"/>
          <w:sz w:val="28"/>
          <w:szCs w:val="28"/>
        </w:rPr>
        <w:t>）</w:t>
      </w:r>
    </w:p>
    <w:p>
      <w:pPr>
        <w:ind w:firstLine="560" w:firstLineChars="200"/>
        <w:rPr>
          <w:rFonts w:hint="eastAsia" w:ascii="黑体" w:eastAsia="黑体"/>
          <w:sz w:val="28"/>
          <w:szCs w:val="28"/>
          <w:lang w:eastAsia="zh-CN"/>
        </w:rPr>
      </w:pPr>
      <w:r>
        <w:rPr>
          <w:rFonts w:hint="eastAsia" w:ascii="黑体" w:eastAsia="黑体"/>
          <w:sz w:val="28"/>
          <w:szCs w:val="28"/>
        </w:rPr>
        <w:t>四、中央对北京转移支付预算执行情况绩效自评报告</w:t>
      </w:r>
      <w:r>
        <w:rPr>
          <w:rFonts w:hint="eastAsia" w:ascii="黑体" w:eastAsia="黑体"/>
          <w:sz w:val="28"/>
          <w:szCs w:val="28"/>
          <w:lang w:eastAsia="zh-CN"/>
        </w:rPr>
        <w:t>：无。</w:t>
      </w:r>
    </w:p>
    <w:p>
      <w:pPr>
        <w:spacing w:line="480" w:lineRule="exact"/>
        <w:ind w:firstLine="560"/>
        <w:rPr>
          <w:rFonts w:ascii="黑体" w:eastAsia="黑体"/>
          <w:sz w:val="28"/>
          <w:szCs w:val="28"/>
        </w:rPr>
      </w:pPr>
      <w:r>
        <w:rPr>
          <w:rFonts w:hint="eastAsia" w:ascii="黑体" w:eastAsia="黑体"/>
          <w:sz w:val="28"/>
          <w:szCs w:val="28"/>
        </w:rPr>
        <w:t>（注：有中央转移支付的一级预算部门，公开“一、二、三、四”；没有中央转移支付的一级预算部门，公开“一、二、三”；二级预算单位仅公开“三”。）</w:t>
      </w:r>
    </w:p>
    <w:p>
      <w:pPr>
        <w:pStyle w:val="2"/>
        <w:ind w:firstLine="560"/>
      </w:pPr>
    </w:p>
    <w:p/>
    <w:p>
      <w:pPr>
        <w:pStyle w:val="2"/>
      </w:pPr>
    </w:p>
    <w:p/>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5500"/>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BC4"/>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2729"/>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1EB"/>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E538D5"/>
    <w:rsid w:val="02F120AB"/>
    <w:rsid w:val="04C3537C"/>
    <w:rsid w:val="079004AC"/>
    <w:rsid w:val="0BA148CA"/>
    <w:rsid w:val="0C1165C4"/>
    <w:rsid w:val="0DD136FE"/>
    <w:rsid w:val="0F8E2C57"/>
    <w:rsid w:val="1059665E"/>
    <w:rsid w:val="10AC13BA"/>
    <w:rsid w:val="145A6C1B"/>
    <w:rsid w:val="167A2FF9"/>
    <w:rsid w:val="17602EFE"/>
    <w:rsid w:val="1AEC0734"/>
    <w:rsid w:val="1B4432C9"/>
    <w:rsid w:val="1BAA1D73"/>
    <w:rsid w:val="1DEF20B0"/>
    <w:rsid w:val="20136430"/>
    <w:rsid w:val="214243FA"/>
    <w:rsid w:val="21AD613C"/>
    <w:rsid w:val="257A14F5"/>
    <w:rsid w:val="27196C26"/>
    <w:rsid w:val="27367B73"/>
    <w:rsid w:val="29EF086F"/>
    <w:rsid w:val="2C3661C3"/>
    <w:rsid w:val="2EC252B6"/>
    <w:rsid w:val="2EFFE297"/>
    <w:rsid w:val="301437CA"/>
    <w:rsid w:val="31C204AF"/>
    <w:rsid w:val="349D1F0A"/>
    <w:rsid w:val="34DD0473"/>
    <w:rsid w:val="365635BA"/>
    <w:rsid w:val="39B16A37"/>
    <w:rsid w:val="3BDA32EF"/>
    <w:rsid w:val="3C684897"/>
    <w:rsid w:val="3D8028A7"/>
    <w:rsid w:val="428D483B"/>
    <w:rsid w:val="433E495C"/>
    <w:rsid w:val="46D51747"/>
    <w:rsid w:val="489F2FD7"/>
    <w:rsid w:val="4AC27CB3"/>
    <w:rsid w:val="4BF72BEF"/>
    <w:rsid w:val="4FA90297"/>
    <w:rsid w:val="4FC41A43"/>
    <w:rsid w:val="51DB3C59"/>
    <w:rsid w:val="550C0952"/>
    <w:rsid w:val="55762E42"/>
    <w:rsid w:val="559740BB"/>
    <w:rsid w:val="55A3078C"/>
    <w:rsid w:val="57A7B272"/>
    <w:rsid w:val="58470068"/>
    <w:rsid w:val="58747CAC"/>
    <w:rsid w:val="5A1720F9"/>
    <w:rsid w:val="5B9C37C2"/>
    <w:rsid w:val="5BA7C654"/>
    <w:rsid w:val="60A54109"/>
    <w:rsid w:val="615C4D53"/>
    <w:rsid w:val="61D01CDF"/>
    <w:rsid w:val="63702F31"/>
    <w:rsid w:val="64C0607C"/>
    <w:rsid w:val="65756C86"/>
    <w:rsid w:val="65C60E87"/>
    <w:rsid w:val="674D385B"/>
    <w:rsid w:val="676F09E1"/>
    <w:rsid w:val="73092C77"/>
    <w:rsid w:val="73250F47"/>
    <w:rsid w:val="73B72E59"/>
    <w:rsid w:val="76B53173"/>
    <w:rsid w:val="78936F61"/>
    <w:rsid w:val="78E00FDC"/>
    <w:rsid w:val="798524E4"/>
    <w:rsid w:val="7A7F1C49"/>
    <w:rsid w:val="7B5B7AE6"/>
    <w:rsid w:val="7B7B6628"/>
    <w:rsid w:val="7B910B48"/>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1232.94</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181829603932183"/>
                  <c:y val="0.0953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39583333333333"/>
                  <c:y val="0.08680555555555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3273876935861"/>
                  <c:y val="0.03134456284339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1166.36</c:v>
                </c:pt>
                <c:pt idx="1">
                  <c:v>66.58</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3819</Words>
  <Characters>6444</Characters>
  <Lines>44</Lines>
  <Paragraphs>12</Paragraphs>
  <TotalTime>2</TotalTime>
  <ScaleCrop>false</ScaleCrop>
  <LinksUpToDate>false</LinksUpToDate>
  <CharactersWithSpaces>6463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Administrator</cp:lastModifiedBy>
  <cp:lastPrinted>2025-08-28T06:40:24Z</cp:lastPrinted>
  <dcterms:modified xsi:type="dcterms:W3CDTF">2025-08-28T06:41:20Z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9DD0135950124993B7D852C041680C5A</vt:lpwstr>
  </property>
  <property fmtid="{D5CDD505-2E9C-101B-9397-08002B2CF9AE}" pid="4" name="KSOTemplateDocerSaveRecord">
    <vt:lpwstr>eyJoZGlkIjoiMzc4NWY1MzkzMjk1MGZhYTYzN2RlYzY2ZjI5NzA1ZTciLCJ1c2VySWQiOiIxMDExMTUzMTMyIn0=</vt:lpwstr>
  </property>
</Properties>
</file>