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570"/>
        <w:rPr>
          <w:rFonts w:hint="eastAsia" w:ascii="仿宋_GB2312" w:eastAsia="仿宋_GB2312"/>
          <w:sz w:val="28"/>
          <w:szCs w:val="28"/>
        </w:rPr>
      </w:pPr>
      <w:r>
        <w:rPr>
          <w:rFonts w:hint="eastAsia" w:ascii="仿宋_GB2312" w:hAnsi="Times New Roman" w:eastAsia="仿宋_GB2312" w:cs="Times New Roman"/>
          <w:sz w:val="28"/>
          <w:szCs w:val="28"/>
        </w:rPr>
        <w:t>贯彻落实中央、市、区关于老干部工作的方针、政策及规定；向区委、区政府报告全区老干部工作情况，提出意见和建议；研究制定全区老干部工作指导意见。指导全区各单位落实老干部工作的方针、政策、规定，并对具体执行情况进行督促检查。督促、检查、落实老干部政治待遇和生活待遇，协调有关部门解决存在的困难和问题。指导全区老干部党支部建设和老干部思想政治工作，引导老干部在新形势下发挥作用。宣传老干部的历史功绩、现实作用和先进事迹，宣传老干部工作的重要意义，编发有关刊物。指导老干部活动中心建设，组织老干部开展科学健康的文化健身活动。接待处理老干部来信来访。指导各单位老干部工作部门，加强老干部工作队伍建设</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完成区委、区政府和上级有关部门交办的其它工作。所属事业单位1个：北京市西城区老干部活动中心(老干部党校办公室合署办公）。</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3064.1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trike w:val="0"/>
          <w:dstrike w:val="0"/>
          <w:sz w:val="28"/>
          <w:szCs w:val="28"/>
          <w:highlight w:val="none"/>
          <w:u w:val="none"/>
        </w:rPr>
        <w:t>145.25</w:t>
      </w:r>
      <w:r>
        <w:rPr>
          <w:rFonts w:hint="eastAsia" w:ascii="仿宋_GB2312" w:eastAsia="仿宋_GB2312"/>
          <w:sz w:val="28"/>
          <w:szCs w:val="28"/>
        </w:rPr>
        <w:t>万元，下降</w:t>
      </w:r>
      <w:r>
        <w:rPr>
          <w:rFonts w:hint="eastAsia" w:ascii="仿宋_GB2312" w:eastAsia="仿宋_GB2312"/>
          <w:sz w:val="28"/>
          <w:szCs w:val="28"/>
          <w:lang w:val="en-US" w:eastAsia="zh-CN"/>
        </w:rPr>
        <w:t>4.44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3064.1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trike w:val="0"/>
          <w:dstrike w:val="0"/>
          <w:sz w:val="28"/>
          <w:szCs w:val="28"/>
          <w:highlight w:val="none"/>
          <w:u w:val="none"/>
        </w:rPr>
        <w:t>145.25</w:t>
      </w:r>
      <w:r>
        <w:rPr>
          <w:rFonts w:hint="eastAsia" w:ascii="仿宋_GB2312" w:eastAsia="仿宋_GB2312"/>
          <w:sz w:val="28"/>
          <w:szCs w:val="28"/>
        </w:rPr>
        <w:t>万元，下降</w:t>
      </w:r>
      <w:r>
        <w:rPr>
          <w:rFonts w:hint="eastAsia" w:ascii="仿宋_GB2312" w:eastAsia="仿宋_GB2312"/>
          <w:sz w:val="28"/>
          <w:szCs w:val="28"/>
          <w:lang w:val="en-US" w:eastAsia="zh-CN"/>
        </w:rPr>
        <w:t>4.44</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sz w:val="28"/>
          <w:szCs w:val="28"/>
        </w:rPr>
      </w:pPr>
      <w:r>
        <w:rPr>
          <w:rFonts w:hint="eastAsia" w:ascii="仿宋_GB2312" w:eastAsia="仿宋_GB2312"/>
          <w:sz w:val="28"/>
          <w:szCs w:val="28"/>
        </w:rPr>
        <w:t>1.财政拨款收入</w:t>
      </w:r>
      <w:r>
        <w:rPr>
          <w:rFonts w:ascii="仿宋_GB2312" w:eastAsia="仿宋_GB2312"/>
          <w:sz w:val="28"/>
          <w:szCs w:val="28"/>
        </w:rPr>
        <w:t>3064.1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3064.1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年度本年支出合计3064.1万元，比上年减少145.25万元，下降</w:t>
      </w:r>
      <w:r>
        <w:rPr>
          <w:rFonts w:hint="eastAsia" w:ascii="仿宋_GB2312" w:hAnsi="Times New Roman" w:eastAsia="仿宋_GB2312" w:cs="Times New Roman"/>
          <w:sz w:val="28"/>
          <w:szCs w:val="28"/>
          <w:lang w:val="en-US" w:eastAsia="zh-CN"/>
        </w:rPr>
        <w:t>4.44</w:t>
      </w:r>
      <w:r>
        <w:rPr>
          <w:rFonts w:hint="eastAsia" w:ascii="仿宋_GB2312" w:hAnsi="Times New Roman" w:eastAsia="仿宋_GB2312" w:cs="Times New Roman"/>
          <w:sz w:val="28"/>
          <w:szCs w:val="28"/>
        </w:rPr>
        <w:t>%，其中：基本支出2241.94万元，占支出合计的</w:t>
      </w:r>
      <w:r>
        <w:rPr>
          <w:rFonts w:hint="eastAsia" w:ascii="仿宋_GB2312" w:hAnsi="Times New Roman" w:eastAsia="仿宋_GB2312" w:cs="Times New Roman"/>
          <w:sz w:val="28"/>
          <w:szCs w:val="28"/>
          <w:lang w:eastAsia="zh-CN"/>
        </w:rPr>
        <w:t>73.17</w:t>
      </w:r>
      <w:r>
        <w:rPr>
          <w:rFonts w:hint="eastAsia" w:ascii="仿宋_GB2312" w:hAnsi="Times New Roman" w:eastAsia="仿宋_GB2312" w:cs="Times New Roman"/>
          <w:sz w:val="28"/>
          <w:szCs w:val="28"/>
        </w:rPr>
        <w:t>%；项目支出822.16万元，占支出合计的</w:t>
      </w:r>
      <w:r>
        <w:rPr>
          <w:rFonts w:hint="eastAsia" w:ascii="仿宋_GB2312" w:hAnsi="Times New Roman" w:eastAsia="仿宋_GB2312" w:cs="Times New Roman"/>
          <w:sz w:val="28"/>
          <w:szCs w:val="28"/>
          <w:lang w:eastAsia="zh-CN"/>
        </w:rPr>
        <w:t>26.83</w:t>
      </w:r>
      <w:r>
        <w:rPr>
          <w:rFonts w:hint="eastAsia" w:ascii="仿宋_GB2312" w:hAnsi="Times New Roman" w:eastAsia="仿宋_GB2312" w:cs="Times New Roman"/>
          <w:sz w:val="28"/>
          <w:szCs w:val="28"/>
        </w:rPr>
        <w:t>%;上缴上级支出0万元，占支出合计的</w:t>
      </w:r>
      <w:r>
        <w:rPr>
          <w:rFonts w:hint="eastAsia" w:ascii="仿宋_GB2312" w:hAnsi="Times New Roman" w:eastAsia="仿宋_GB2312" w:cs="Times New Roman"/>
          <w:sz w:val="28"/>
          <w:szCs w:val="28"/>
          <w:lang w:eastAsia="zh-CN"/>
        </w:rPr>
        <w:t>0</w:t>
      </w:r>
      <w:r>
        <w:rPr>
          <w:rFonts w:hint="eastAsia" w:ascii="仿宋_GB2312" w:hAnsi="Times New Roman" w:eastAsia="仿宋_GB2312" w:cs="Times New Roman"/>
          <w:sz w:val="28"/>
          <w:szCs w:val="28"/>
        </w:rPr>
        <w:t>%；经营支出0万元，占支出合计的</w:t>
      </w:r>
      <w:r>
        <w:rPr>
          <w:rFonts w:hint="eastAsia" w:ascii="仿宋_GB2312" w:hAnsi="Times New Roman" w:eastAsia="仿宋_GB2312" w:cs="Times New Roman"/>
          <w:sz w:val="28"/>
          <w:szCs w:val="28"/>
          <w:lang w:eastAsia="zh-CN"/>
        </w:rPr>
        <w:t>0</w:t>
      </w:r>
      <w:r>
        <w:rPr>
          <w:rFonts w:hint="eastAsia" w:ascii="仿宋_GB2312" w:hAnsi="Times New Roman" w:eastAsia="仿宋_GB2312" w:cs="Times New Roman"/>
          <w:sz w:val="28"/>
          <w:szCs w:val="28"/>
        </w:rPr>
        <w:t>%；对附属单位补助支出0万元，占支出合计的</w:t>
      </w:r>
      <w:r>
        <w:rPr>
          <w:rFonts w:hint="eastAsia" w:ascii="仿宋_GB2312" w:hAnsi="Times New Roman" w:eastAsia="仿宋_GB2312" w:cs="Times New Roman"/>
          <w:sz w:val="28"/>
          <w:szCs w:val="28"/>
          <w:lang w:eastAsia="zh-CN"/>
        </w:rPr>
        <w:t>0</w:t>
      </w:r>
      <w:r>
        <w:rPr>
          <w:rFonts w:hint="eastAsia" w:ascii="仿宋_GB2312" w:hAnsi="Times New Roman" w:eastAsia="仿宋_GB2312" w:cs="Times New Roman"/>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hAnsi="Times New Roman" w:eastAsia="仿宋_GB2312" w:cs="Times New Roman"/>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3064.1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hAnsi="仿宋" w:eastAsia="仿宋_GB2312"/>
          <w:strike w:val="0"/>
          <w:dstrike w:val="0"/>
          <w:sz w:val="32"/>
          <w:szCs w:val="32"/>
          <w:highlight w:val="none"/>
          <w:u w:val="none"/>
        </w:rPr>
        <w:t>145.25</w:t>
      </w:r>
      <w:r>
        <w:rPr>
          <w:rFonts w:hint="eastAsia" w:ascii="仿宋_GB2312" w:eastAsia="仿宋_GB2312"/>
          <w:sz w:val="28"/>
          <w:szCs w:val="28"/>
        </w:rPr>
        <w:t>万元，下降</w:t>
      </w:r>
      <w:r>
        <w:rPr>
          <w:rFonts w:hint="eastAsia" w:ascii="仿宋_GB2312" w:eastAsia="仿宋_GB2312"/>
          <w:sz w:val="28"/>
          <w:szCs w:val="28"/>
          <w:lang w:val="en-US" w:eastAsia="zh-CN"/>
        </w:rPr>
        <w:t>4.44</w:t>
      </w:r>
      <w:r>
        <w:rPr>
          <w:rFonts w:hint="eastAsia" w:ascii="仿宋_GB2312" w:eastAsia="仿宋_GB2312"/>
          <w:sz w:val="28"/>
          <w:szCs w:val="28"/>
        </w:rPr>
        <w:t>%。主要原因：</w:t>
      </w:r>
      <w:r>
        <w:rPr>
          <w:rFonts w:hint="eastAsia" w:ascii="仿宋_GB2312" w:hAnsi="Times New Roman" w:eastAsia="仿宋_GB2312" w:cs="Times New Roman"/>
          <w:sz w:val="28"/>
          <w:szCs w:val="28"/>
          <w:lang w:eastAsia="zh-CN"/>
        </w:rPr>
        <w:t>按照过紧日子要求压减预算开支。</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3064.1</w:t>
      </w:r>
      <w:r>
        <w:rPr>
          <w:rFonts w:hint="eastAsia" w:ascii="仿宋_GB2312" w:eastAsia="仿宋_GB2312"/>
          <w:sz w:val="28"/>
          <w:szCs w:val="28"/>
        </w:rPr>
        <w:t>万元，主要用于以下方面（按大类）：</w:t>
      </w:r>
      <w:r>
        <w:rPr>
          <w:rFonts w:hint="eastAsia" w:ascii="仿宋_GB2312" w:eastAsia="仿宋_GB2312"/>
          <w:sz w:val="28"/>
          <w:szCs w:val="28"/>
          <w:lang w:eastAsia="zh-CN"/>
        </w:rPr>
        <w:t>社会保障与就业</w:t>
      </w:r>
      <w:r>
        <w:rPr>
          <w:rFonts w:hint="eastAsia" w:ascii="仿宋_GB2312" w:eastAsia="仿宋_GB2312"/>
          <w:sz w:val="28"/>
          <w:szCs w:val="28"/>
        </w:rPr>
        <w:t>支出</w:t>
      </w:r>
      <w:r>
        <w:rPr>
          <w:rFonts w:hint="eastAsia" w:ascii="仿宋_GB2312" w:eastAsia="仿宋_GB2312"/>
          <w:sz w:val="28"/>
          <w:szCs w:val="28"/>
          <w:lang w:val="en-US" w:eastAsia="zh-CN"/>
        </w:rPr>
        <w:t>2596.35</w:t>
      </w:r>
      <w:r>
        <w:rPr>
          <w:rFonts w:hint="eastAsia" w:ascii="仿宋_GB2312" w:eastAsia="仿宋_GB2312"/>
          <w:sz w:val="28"/>
          <w:szCs w:val="28"/>
        </w:rPr>
        <w:t>万元，占本年财政拨款支</w:t>
      </w:r>
      <w:r>
        <w:rPr>
          <w:rFonts w:hint="eastAsia" w:ascii="仿宋_GB2312" w:eastAsia="仿宋_GB2312"/>
          <w:sz w:val="28"/>
          <w:szCs w:val="28"/>
          <w:lang w:eastAsia="zh-CN"/>
        </w:rPr>
        <w:t>出</w:t>
      </w:r>
      <w:r>
        <w:rPr>
          <w:rFonts w:hint="eastAsia" w:ascii="仿宋_GB2312" w:eastAsia="仿宋_GB2312"/>
          <w:sz w:val="28"/>
          <w:szCs w:val="28"/>
          <w:lang w:val="en-US" w:eastAsia="zh-CN"/>
        </w:rPr>
        <w:t>84.73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163.76</w:t>
      </w:r>
      <w:r>
        <w:rPr>
          <w:rFonts w:hint="eastAsia" w:ascii="仿宋_GB2312" w:eastAsia="仿宋_GB2312"/>
          <w:sz w:val="28"/>
          <w:szCs w:val="28"/>
          <w:lang w:eastAsia="zh-CN"/>
        </w:rPr>
        <w:t>万元，</w:t>
      </w:r>
      <w:r>
        <w:rPr>
          <w:rFonts w:hint="eastAsia" w:ascii="仿宋_GB2312" w:eastAsia="仿宋_GB2312"/>
          <w:sz w:val="28"/>
          <w:szCs w:val="28"/>
        </w:rPr>
        <w:t>占本年财政拨款支</w:t>
      </w:r>
      <w:r>
        <w:rPr>
          <w:rFonts w:hint="eastAsia" w:ascii="仿宋_GB2312" w:eastAsia="仿宋_GB2312"/>
          <w:sz w:val="28"/>
          <w:szCs w:val="28"/>
          <w:lang w:eastAsia="zh-CN"/>
        </w:rPr>
        <w:t>出</w:t>
      </w:r>
      <w:r>
        <w:rPr>
          <w:rFonts w:hint="eastAsia" w:ascii="仿宋_GB2312" w:eastAsia="仿宋_GB2312"/>
          <w:sz w:val="28"/>
          <w:szCs w:val="28"/>
          <w:lang w:val="en-US" w:eastAsia="zh-CN"/>
        </w:rPr>
        <w:t>5.34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303.99万元</w:t>
      </w:r>
      <w:r>
        <w:rPr>
          <w:rFonts w:hint="eastAsia" w:ascii="仿宋_GB2312" w:eastAsia="仿宋_GB2312"/>
          <w:sz w:val="28"/>
          <w:szCs w:val="28"/>
          <w:lang w:eastAsia="zh-CN"/>
        </w:rPr>
        <w:t>，</w:t>
      </w:r>
      <w:r>
        <w:rPr>
          <w:rFonts w:hint="eastAsia" w:ascii="仿宋_GB2312" w:eastAsia="仿宋_GB2312"/>
          <w:sz w:val="28"/>
          <w:szCs w:val="28"/>
        </w:rPr>
        <w:t>占本年财政拨款支</w:t>
      </w:r>
      <w:r>
        <w:rPr>
          <w:rFonts w:hint="eastAsia" w:ascii="仿宋_GB2312" w:eastAsia="仿宋_GB2312"/>
          <w:sz w:val="28"/>
          <w:szCs w:val="28"/>
          <w:lang w:eastAsia="zh-CN"/>
        </w:rPr>
        <w:t>出</w:t>
      </w:r>
      <w:r>
        <w:rPr>
          <w:rFonts w:hint="eastAsia" w:ascii="仿宋_GB2312" w:eastAsia="仿宋_GB2312"/>
          <w:sz w:val="28"/>
          <w:szCs w:val="28"/>
          <w:lang w:val="en-US" w:eastAsia="zh-CN"/>
        </w:rPr>
        <w:t>9.92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numPr>
          <w:ilvl w:val="0"/>
          <w:numId w:val="1"/>
        </w:num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社会保障和就业支出（类）202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eastAsia="仿宋_GB2312" w:cs="Times New Roman"/>
          <w:sz w:val="28"/>
          <w:szCs w:val="28"/>
          <w:lang w:val="en-US" w:eastAsia="zh-CN"/>
        </w:rPr>
        <w:t>2700.92</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val="en-US" w:eastAsia="zh-CN"/>
        </w:rPr>
        <w:t>2024年度决算2596.35万元，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96.13%</w:t>
      </w:r>
      <w:r>
        <w:rPr>
          <w:rFonts w:hint="eastAsia" w:ascii="仿宋_GB2312" w:hAnsi="Times New Roman" w:eastAsia="仿宋_GB2312" w:cs="Times New Roman"/>
          <w:sz w:val="28"/>
          <w:szCs w:val="28"/>
        </w:rPr>
        <w:t>。</w:t>
      </w:r>
    </w:p>
    <w:p>
      <w:pPr>
        <w:numPr>
          <w:ilvl w:val="0"/>
          <w:numId w:val="0"/>
        </w:numPr>
        <w:tabs>
          <w:tab w:val="center" w:pos="6979"/>
        </w:tabs>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其中：</w:t>
      </w:r>
    </w:p>
    <w:p>
      <w:pPr>
        <w:numPr>
          <w:ilvl w:val="0"/>
          <w:numId w:val="0"/>
        </w:num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行政事业单位养老支出</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（款</w:t>
      </w:r>
      <w:r>
        <w:rPr>
          <w:rFonts w:hint="eastAsia" w:ascii="仿宋_GB2312" w:hAnsi="Times New Roman" w:eastAsia="仿宋_GB2312" w:cs="Times New Roman"/>
          <w:sz w:val="28"/>
          <w:szCs w:val="28"/>
          <w:lang w:eastAsia="zh-CN"/>
        </w:rPr>
        <w:t>，下同</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eastAsia="仿宋_GB2312" w:cs="Times New Roman"/>
          <w:sz w:val="28"/>
          <w:szCs w:val="28"/>
          <w:lang w:val="en-US" w:eastAsia="zh-CN"/>
        </w:rPr>
        <w:t>2700.92</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val="en-US" w:eastAsia="zh-CN"/>
        </w:rPr>
        <w:t>2024年度决算2596.35万元，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96.13%</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根据工作实际需要支出，按照过紧日子原则适当压减</w:t>
      </w:r>
      <w:r>
        <w:rPr>
          <w:rFonts w:hint="eastAsia" w:ascii="仿宋_GB2312" w:hAnsi="Times New Roman" w:eastAsia="仿宋_GB2312" w:cs="Times New Roman"/>
          <w:sz w:val="28"/>
          <w:szCs w:val="28"/>
        </w:rPr>
        <w:t>。</w:t>
      </w:r>
    </w:p>
    <w:p>
      <w:pPr>
        <w:numPr>
          <w:ilvl w:val="0"/>
          <w:numId w:val="1"/>
        </w:numPr>
        <w:tabs>
          <w:tab w:val="center" w:pos="6979"/>
        </w:tabs>
        <w:spacing w:line="580" w:lineRule="exact"/>
        <w:ind w:firstLine="57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卫生健康支出</w:t>
      </w:r>
      <w:r>
        <w:rPr>
          <w:rFonts w:hint="eastAsia" w:ascii="仿宋_GB2312" w:hAnsi="Times New Roman" w:eastAsia="仿宋_GB2312" w:cs="Times New Roman"/>
          <w:sz w:val="28"/>
          <w:szCs w:val="28"/>
        </w:rPr>
        <w:t>（类）202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eastAsia="仿宋_GB2312" w:cs="Times New Roman"/>
          <w:sz w:val="28"/>
          <w:szCs w:val="28"/>
          <w:lang w:val="en-US" w:eastAsia="zh-CN"/>
        </w:rPr>
        <w:t>138.85</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val="en-US" w:eastAsia="zh-CN"/>
        </w:rPr>
        <w:t>2024年度决算163.76万元，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117.94%</w:t>
      </w:r>
      <w:r>
        <w:rPr>
          <w:rFonts w:hint="eastAsia" w:ascii="仿宋_GB2312" w:hAnsi="Times New Roman" w:eastAsia="仿宋_GB2312" w:cs="Times New Roman"/>
          <w:sz w:val="28"/>
          <w:szCs w:val="28"/>
        </w:rPr>
        <w:t>。</w:t>
      </w:r>
    </w:p>
    <w:p>
      <w:pPr>
        <w:numPr>
          <w:ilvl w:val="0"/>
          <w:numId w:val="0"/>
        </w:numPr>
        <w:tabs>
          <w:tab w:val="center" w:pos="6979"/>
        </w:tabs>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其中：</w:t>
      </w:r>
    </w:p>
    <w:p>
      <w:pPr>
        <w:numPr>
          <w:ilvl w:val="0"/>
          <w:numId w:val="0"/>
        </w:num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w:t>
      </w:r>
      <w:r>
        <w:rPr>
          <w:rFonts w:hint="eastAsia" w:ascii="仿宋_GB2312" w:hAnsi="Times New Roman" w:eastAsia="仿宋_GB2312" w:cs="Times New Roman"/>
          <w:sz w:val="28"/>
          <w:szCs w:val="28"/>
          <w:lang w:eastAsia="zh-CN"/>
        </w:rPr>
        <w:t>医疗</w:t>
      </w:r>
      <w:r>
        <w:rPr>
          <w:rFonts w:hint="eastAsia" w:ascii="仿宋_GB2312" w:hAnsi="Times New Roman" w:eastAsia="仿宋_GB2312" w:cs="Times New Roman"/>
          <w:sz w:val="28"/>
          <w:szCs w:val="28"/>
        </w:rPr>
        <w:t>（款）202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eastAsia="仿宋_GB2312" w:cs="Times New Roman"/>
          <w:sz w:val="28"/>
          <w:szCs w:val="28"/>
          <w:lang w:val="en-US" w:eastAsia="zh-CN"/>
        </w:rPr>
        <w:t>138.85</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val="en-US" w:eastAsia="zh-CN"/>
        </w:rPr>
        <w:t>2024年度决算163.76万元，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117.94%</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基数调整，有新入职人员</w:t>
      </w:r>
      <w:r>
        <w:rPr>
          <w:rFonts w:hint="eastAsia" w:ascii="仿宋_GB2312" w:hAnsi="Times New Roman" w:eastAsia="仿宋_GB2312" w:cs="Times New Roman"/>
          <w:sz w:val="28"/>
          <w:szCs w:val="28"/>
        </w:rPr>
        <w:t>。</w:t>
      </w:r>
    </w:p>
    <w:p>
      <w:pPr>
        <w:numPr>
          <w:ilvl w:val="0"/>
          <w:numId w:val="2"/>
        </w:numPr>
        <w:tabs>
          <w:tab w:val="center" w:pos="6979"/>
        </w:tabs>
        <w:spacing w:line="580" w:lineRule="exact"/>
        <w:ind w:firstLine="57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住房保障支出（类）</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eastAsia="仿宋_GB2312" w:cs="Times New Roman"/>
          <w:sz w:val="28"/>
          <w:szCs w:val="28"/>
          <w:lang w:val="en-US" w:eastAsia="zh-CN"/>
        </w:rPr>
        <w:t>284.57</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val="en-US" w:eastAsia="zh-CN"/>
        </w:rPr>
        <w:t>2024年度决算303.99万元，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106.82%</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基数调整，有新入职人员</w:t>
      </w:r>
      <w:r>
        <w:rPr>
          <w:rFonts w:hint="eastAsia" w:ascii="仿宋_GB2312" w:hAnsi="Times New Roman" w:eastAsia="仿宋_GB2312" w:cs="Times New Roman"/>
          <w:sz w:val="28"/>
          <w:szCs w:val="28"/>
        </w:rPr>
        <w:t>。</w:t>
      </w:r>
    </w:p>
    <w:p>
      <w:pPr>
        <w:numPr>
          <w:ilvl w:val="0"/>
          <w:numId w:val="0"/>
        </w:numPr>
        <w:tabs>
          <w:tab w:val="center" w:pos="6979"/>
        </w:tabs>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其中：</w:t>
      </w:r>
    </w:p>
    <w:p>
      <w:pPr>
        <w:numPr>
          <w:ilvl w:val="0"/>
          <w:numId w:val="0"/>
        </w:numPr>
        <w:tabs>
          <w:tab w:val="center" w:pos="6979"/>
        </w:tabs>
        <w:spacing w:line="580" w:lineRule="exact"/>
        <w:ind w:firstLine="560" w:firstLineChars="200"/>
        <w:rPr>
          <w:rFonts w:hint="eastAsia" w:ascii="黑体" w:eastAsia="黑体"/>
          <w:b/>
          <w:sz w:val="28"/>
          <w:szCs w:val="28"/>
        </w:rPr>
      </w:pPr>
      <w:r>
        <w:rPr>
          <w:rFonts w:hint="eastAsia" w:ascii="仿宋_GB2312" w:hAnsi="Times New Roman" w:eastAsia="仿宋_GB2312" w:cs="Times New Roman"/>
          <w:sz w:val="28"/>
          <w:szCs w:val="28"/>
          <w:lang w:val="en-US" w:eastAsia="zh-CN"/>
        </w:rPr>
        <w:t>住房改革支出（款）</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eastAsia="仿宋_GB2312" w:cs="Times New Roman"/>
          <w:sz w:val="28"/>
          <w:szCs w:val="28"/>
          <w:lang w:val="en-US" w:eastAsia="zh-CN"/>
        </w:rPr>
        <w:t>284.57</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val="en-US" w:eastAsia="zh-CN"/>
        </w:rPr>
        <w:t>2024年度决算303.99万元，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106.82%</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基数调整，有新入职人员</w:t>
      </w:r>
      <w:r>
        <w:rPr>
          <w:rFonts w:hint="eastAsia" w:ascii="仿宋_GB2312" w:hAnsi="Times New Roman" w:eastAsia="仿宋_GB2312" w:cs="Times New Roman"/>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无该类支出。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r>
        <w:rPr>
          <w:rFonts w:hint="eastAsia" w:ascii="仿宋_GB2312" w:eastAsia="仿宋_GB2312"/>
          <w:sz w:val="28"/>
          <w:szCs w:val="28"/>
          <w:lang w:eastAsia="zh-CN"/>
        </w:rPr>
        <w:t>无该类收支。</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2241.94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0.93</w:t>
      </w:r>
      <w:r>
        <w:rPr>
          <w:rFonts w:hint="eastAsia" w:ascii="仿宋_GB2312" w:eastAsia="仿宋_GB2312"/>
          <w:sz w:val="28"/>
          <w:szCs w:val="28"/>
        </w:rPr>
        <w:t>万元减少</w:t>
      </w:r>
      <w:r>
        <w:rPr>
          <w:rFonts w:ascii="仿宋_GB2312" w:eastAsia="仿宋_GB2312"/>
          <w:sz w:val="28"/>
          <w:szCs w:val="28"/>
        </w:rPr>
        <w:t>0.93</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无该类支出。</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无该类支出。</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本单位无公务用车。</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137.47</w:t>
      </w:r>
      <w:r>
        <w:rPr>
          <w:rFonts w:hint="eastAsia" w:ascii="仿宋_GB2312" w:eastAsia="仿宋_GB2312"/>
          <w:sz w:val="28"/>
          <w:szCs w:val="28"/>
        </w:rPr>
        <w:t>万元，合计</w:t>
      </w:r>
      <w:r>
        <w:rPr>
          <w:rFonts w:hint="eastAsia" w:ascii="仿宋_GB2312" w:eastAsia="仿宋_GB2312"/>
          <w:sz w:val="28"/>
          <w:szCs w:val="28"/>
          <w:lang w:val="en-US" w:eastAsia="zh-CN"/>
        </w:rPr>
        <w:t>137.47</w:t>
      </w:r>
      <w:r>
        <w:rPr>
          <w:rFonts w:hint="eastAsia" w:ascii="仿宋_GB2312" w:eastAsia="仿宋_GB2312"/>
          <w:sz w:val="28"/>
          <w:szCs w:val="28"/>
        </w:rPr>
        <w:t>万元，比上年增加</w:t>
      </w:r>
      <w:r>
        <w:rPr>
          <w:rFonts w:hint="eastAsia" w:ascii="仿宋_GB2312" w:eastAsia="仿宋_GB2312"/>
          <w:sz w:val="28"/>
          <w:szCs w:val="28"/>
          <w:lang w:val="en-US" w:eastAsia="zh-CN"/>
        </w:rPr>
        <w:t>1.97</w:t>
      </w:r>
      <w:r>
        <w:rPr>
          <w:rFonts w:hint="eastAsia" w:ascii="仿宋_GB2312" w:eastAsia="仿宋_GB2312"/>
          <w:sz w:val="28"/>
          <w:szCs w:val="28"/>
        </w:rPr>
        <w:t>万元，增加原因：</w:t>
      </w:r>
      <w:r>
        <w:rPr>
          <w:rFonts w:hint="eastAsia" w:ascii="仿宋_GB2312" w:hAnsi="Times New Roman" w:eastAsia="仿宋_GB2312" w:cs="Times New Roman"/>
          <w:sz w:val="28"/>
          <w:szCs w:val="28"/>
          <w:lang w:eastAsia="zh-CN"/>
        </w:rPr>
        <w:t>在预算内根据机关运行实际需要支出</w:t>
      </w:r>
      <w:r>
        <w:rPr>
          <w:rFonts w:hint="eastAsia" w:ascii="仿宋_GB2312" w:hAnsi="Times New Roman" w:eastAsia="仿宋_GB2312" w:cs="Times New Roman"/>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1040.25</w:t>
      </w:r>
      <w:r>
        <w:rPr>
          <w:rFonts w:hint="eastAsia" w:ascii="仿宋_GB2312" w:eastAsia="仿宋_GB2312"/>
          <w:sz w:val="28"/>
          <w:szCs w:val="28"/>
        </w:rPr>
        <w:t>万元，其中：政府采购货物支出</w:t>
      </w:r>
      <w:r>
        <w:rPr>
          <w:rFonts w:ascii="仿宋_GB2312" w:eastAsia="仿宋_GB2312"/>
          <w:sz w:val="28"/>
          <w:szCs w:val="28"/>
        </w:rPr>
        <w:t>3.79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1036.45</w:t>
      </w:r>
      <w:r>
        <w:rPr>
          <w:rFonts w:hint="eastAsia" w:ascii="仿宋_GB2312" w:eastAsia="仿宋_GB2312"/>
          <w:sz w:val="28"/>
          <w:szCs w:val="28"/>
        </w:rPr>
        <w:t>万元。授予中小企业合同金额</w:t>
      </w:r>
      <w:r>
        <w:rPr>
          <w:rFonts w:ascii="仿宋_GB2312" w:eastAsia="仿宋_GB2312"/>
          <w:sz w:val="28"/>
          <w:szCs w:val="28"/>
        </w:rPr>
        <w:t>1040.25</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920.57</w:t>
      </w:r>
      <w:r>
        <w:rPr>
          <w:rFonts w:hint="eastAsia" w:ascii="仿宋_GB2312" w:eastAsia="仿宋_GB2312"/>
          <w:sz w:val="28"/>
          <w:szCs w:val="28"/>
        </w:rPr>
        <w:t>万元，占政府采购支出总额的</w:t>
      </w:r>
      <w:r>
        <w:rPr>
          <w:rFonts w:ascii="仿宋_GB2312" w:eastAsia="仿宋_GB2312"/>
          <w:sz w:val="28"/>
          <w:szCs w:val="28"/>
        </w:rPr>
        <w:t>88.5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12月31日，中共北京市西城区委老干部局（本级）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政府购买服务决算400.6</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3"/>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（详见附件）</w:t>
      </w:r>
    </w:p>
    <w:p>
      <w:pPr>
        <w:numPr>
          <w:ilvl w:val="0"/>
          <w:numId w:val="3"/>
        </w:numPr>
        <w:ind w:firstLine="560" w:firstLineChars="200"/>
        <w:rPr>
          <w:rFonts w:hint="eastAsia" w:ascii="黑体" w:eastAsia="黑体"/>
          <w:sz w:val="28"/>
          <w:szCs w:val="28"/>
          <w:lang w:eastAsia="zh-CN"/>
        </w:rPr>
      </w:pPr>
      <w:bookmarkStart w:id="0" w:name="_GoBack"/>
      <w:bookmarkEnd w:id="0"/>
      <w:r>
        <w:rPr>
          <w:rFonts w:hint="eastAsia" w:ascii="黑体" w:eastAsia="黑体"/>
          <w:sz w:val="28"/>
          <w:szCs w:val="28"/>
        </w:rPr>
        <w:t>项目支出绩效评价报告</w:t>
      </w:r>
      <w:r>
        <w:rPr>
          <w:rFonts w:hint="eastAsia" w:ascii="黑体" w:eastAsia="黑体"/>
          <w:sz w:val="28"/>
          <w:szCs w:val="28"/>
          <w:lang w:eastAsia="zh-CN"/>
        </w:rPr>
        <w:t>（详见附件）</w:t>
      </w:r>
    </w:p>
    <w:p>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numPr>
          <w:ilvl w:val="0"/>
          <w:numId w:val="0"/>
        </w:numPr>
        <w:ind w:firstLine="640" w:firstLineChars="200"/>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27600D11"/>
    <w:multiLevelType w:val="singleLevel"/>
    <w:tmpl w:val="27600D11"/>
    <w:lvl w:ilvl="0" w:tentative="0">
      <w:start w:val="1"/>
      <w:numFmt w:val="decimal"/>
      <w:suff w:val="nothing"/>
      <w:lvlText w:val="%1、"/>
      <w:lvlJc w:val="left"/>
    </w:lvl>
  </w:abstractNum>
  <w:abstractNum w:abstractNumId="2">
    <w:nsid w:val="3CA45868"/>
    <w:multiLevelType w:val="singleLevel"/>
    <w:tmpl w:val="3CA45868"/>
    <w:lvl w:ilvl="0" w:tentative="0">
      <w:start w:val="6"/>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1C20BB"/>
    <w:rsid w:val="04C3537C"/>
    <w:rsid w:val="079004AC"/>
    <w:rsid w:val="08730E1E"/>
    <w:rsid w:val="0BA148CA"/>
    <w:rsid w:val="0C1165C4"/>
    <w:rsid w:val="0D6D544B"/>
    <w:rsid w:val="0DD136FE"/>
    <w:rsid w:val="0F8E2C57"/>
    <w:rsid w:val="1059665E"/>
    <w:rsid w:val="10665F40"/>
    <w:rsid w:val="10AC13BA"/>
    <w:rsid w:val="145A6C1B"/>
    <w:rsid w:val="14B73493"/>
    <w:rsid w:val="167A2FF9"/>
    <w:rsid w:val="16B50CE2"/>
    <w:rsid w:val="18581C69"/>
    <w:rsid w:val="1AEC0734"/>
    <w:rsid w:val="1DEF20B0"/>
    <w:rsid w:val="1ECF589C"/>
    <w:rsid w:val="214243FA"/>
    <w:rsid w:val="21AD613C"/>
    <w:rsid w:val="22467189"/>
    <w:rsid w:val="230C5742"/>
    <w:rsid w:val="257A14F5"/>
    <w:rsid w:val="27196C26"/>
    <w:rsid w:val="29EF086F"/>
    <w:rsid w:val="2B3B24DE"/>
    <w:rsid w:val="2EFFE297"/>
    <w:rsid w:val="301437CA"/>
    <w:rsid w:val="32032973"/>
    <w:rsid w:val="349D1F0A"/>
    <w:rsid w:val="34DD0473"/>
    <w:rsid w:val="38BA0E4D"/>
    <w:rsid w:val="3C684897"/>
    <w:rsid w:val="433E495C"/>
    <w:rsid w:val="489F2FD7"/>
    <w:rsid w:val="4AC27CB3"/>
    <w:rsid w:val="4BF72BEF"/>
    <w:rsid w:val="4FA90297"/>
    <w:rsid w:val="4FC41A43"/>
    <w:rsid w:val="51DB3C59"/>
    <w:rsid w:val="546F1A5B"/>
    <w:rsid w:val="55067695"/>
    <w:rsid w:val="550C0952"/>
    <w:rsid w:val="55762E42"/>
    <w:rsid w:val="57A7B272"/>
    <w:rsid w:val="58470068"/>
    <w:rsid w:val="58747CAC"/>
    <w:rsid w:val="5A1720F9"/>
    <w:rsid w:val="5B9C37C2"/>
    <w:rsid w:val="5BA7C654"/>
    <w:rsid w:val="606B4B2E"/>
    <w:rsid w:val="60A54109"/>
    <w:rsid w:val="61D01CDF"/>
    <w:rsid w:val="64C0607C"/>
    <w:rsid w:val="653927BF"/>
    <w:rsid w:val="65756C86"/>
    <w:rsid w:val="674D385B"/>
    <w:rsid w:val="676F09E1"/>
    <w:rsid w:val="71793A80"/>
    <w:rsid w:val="7357290B"/>
    <w:rsid w:val="73C151C6"/>
    <w:rsid w:val="73D040F9"/>
    <w:rsid w:val="75A22380"/>
    <w:rsid w:val="798524E4"/>
    <w:rsid w:val="7A7F1C49"/>
    <w:rsid w:val="7AC24AA0"/>
    <w:rsid w:val="7B5B7AE6"/>
    <w:rsid w:val="7B7B6628"/>
    <w:rsid w:val="7BA7071E"/>
    <w:rsid w:val="7BDF6DA8"/>
    <w:rsid w:val="7C7EDC1A"/>
    <w:rsid w:val="7CBC13D8"/>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3064.1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2241.94</c:v>
                </c:pt>
                <c:pt idx="1">
                  <c:v>822.16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0</TotalTime>
  <ScaleCrop>false</ScaleCrop>
  <LinksUpToDate>false</LinksUpToDate>
  <CharactersWithSpaces>5802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2025-08-28T07:31:51Z</cp:lastPrinted>
  <dcterms:modified xsi:type="dcterms:W3CDTF">2025-08-28T07:35:13Z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