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1134"/>
        <w:gridCol w:w="322"/>
        <w:gridCol w:w="812"/>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困难群众救助补助经费</w:t>
            </w:r>
          </w:p>
        </w:tc>
      </w:tr>
      <w:tr>
        <w:tblPrEx>
          <w:tblCellMar>
            <w:top w:w="0" w:type="dxa"/>
            <w:left w:w="108" w:type="dxa"/>
            <w:bottom w:w="0" w:type="dxa"/>
            <w:right w:w="108" w:type="dxa"/>
          </w:tblCellMar>
        </w:tblPrEx>
        <w:trPr>
          <w:trHeight w:val="67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民生保障办公室（综合服务组）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56"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27万元</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26</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247718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97.2</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9.72</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25万元</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465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eastAsia="宋体"/>
                <w:kern w:val="0"/>
                <w:sz w:val="20"/>
                <w:lang w:eastAsia="zh-CN"/>
              </w:rPr>
              <w:t>依据京政发【2015】26号、西民发【2015】29号、《社会救助暂行办法》、西民发[2019]10号、西民发[2020]8号、京残发【2014】4号、76号等文件，充分发挥社会救助托底线、救急难作用，解决困难群众突发性、紧迫性，临时性基本生活困难，对于遭遇突发事件、意外伤害、重大疾病或其他特殊原因导致基本生活陷入困境，其他社会救助制度暂时无法覆盖或救助之后基本生活暂时仍有严重困难的家庭或个人给予的应激性、过渡性救助。救急难工作全年经费主要用于保障临时救助金的支出和现行社会救助政策无法涵盖的辖区困难群众的救急费用支出、高等教育新生入学教育救助、残疾人学生、生活困难的残疾人子女学生助学补助等困难群众救助经费支出</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eastAsia="宋体"/>
                <w:kern w:val="0"/>
                <w:sz w:val="20"/>
                <w:lang w:eastAsia="zh-CN"/>
              </w:rPr>
              <w:t>依据京政发【2015】26号、西民发【2015】29号、《社会救助暂行办法》、西民发[2019]10号、西民发[2020]8号、京残发【2014】4号、76号等文件，充分发挥社会救助托底线、救急难作用，解决困难群众突发性、紧迫性，临时性基本生活困难，对于遭遇突发事件、意外伤害、重大疾病或其他特殊原因导致基本生活陷入困境，其他社会救助制度暂时无法覆盖或救助之后基本生活暂时仍有严重困难的家庭或个人给予的应激性、过渡性救助。救急难工作全年经费主要用于保障临时救助金的支出和现行社会救助政策无法涵盖的辖区困难群众的救急费用支出、高等教育新生入学教育救助、残疾人学生、生活困难的残疾人子女学生助学补助等困难群众救助经费支出</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2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符合临时救助等救急难政策人员</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预计</w:t>
            </w:r>
            <w:r>
              <w:rPr>
                <w:rFonts w:hint="eastAsia"/>
                <w:kern w:val="0"/>
                <w:sz w:val="20"/>
                <w:lang w:val="en-US" w:eastAsia="zh-CN"/>
              </w:rPr>
              <w:t>2220人，动态管理</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预计</w:t>
            </w:r>
            <w:r>
              <w:rPr>
                <w:rFonts w:hint="eastAsia"/>
                <w:kern w:val="0"/>
                <w:sz w:val="20"/>
                <w:lang w:val="en-US" w:eastAsia="zh-CN"/>
              </w:rPr>
              <w:t>2220人，动态管理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0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充分保障辖区困难群众合法权益</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按照救急难政策帮助困难群众脱离困境，为辖区社会救助对象、残疾人及残疾人子女提供教育救助、补助，帮助他们顺利完成学业</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按照救急难政策帮助困难群众脱离困境，为辖区社会救助对象、残疾人及残疾人子女提供教育救助、补助，帮助他们顺利完成学业</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依申请、程序办理临时救助、高等教育新生入学救助、残疾人及残疾人子女入学补助等困难群众救助事项</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 xml:space="preserve"> </w:t>
            </w:r>
            <w:r>
              <w:rPr>
                <w:rFonts w:hint="eastAsia"/>
                <w:kern w:val="0"/>
                <w:sz w:val="20"/>
                <w:lang w:eastAsia="zh-CN"/>
              </w:rPr>
              <w:t>按临时救助、高等教育新生入学救助、残疾人及残疾人子女入学补助等救助政策办理救急难事项</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 xml:space="preserve"> </w:t>
            </w:r>
            <w:r>
              <w:rPr>
                <w:rFonts w:hint="eastAsia"/>
                <w:kern w:val="0"/>
                <w:sz w:val="20"/>
                <w:lang w:eastAsia="zh-CN"/>
              </w:rPr>
              <w:t>按临时救助、高等教育新生入学救助、残疾人及残疾人子女入学补助等救助政策办理救急难事项</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jc w:val="center"/>
              <w:rPr>
                <w:rFonts w:hint="eastAsia" w:eastAsia="宋体"/>
                <w:kern w:val="0"/>
                <w:sz w:val="20"/>
                <w:lang w:eastAsia="zh-CN"/>
              </w:rPr>
            </w:pPr>
            <w:r>
              <w:rPr>
                <w:rFonts w:hint="eastAsia" w:ascii="宋体" w:hAnsi="宋体" w:eastAsia="宋体" w:cs="宋体"/>
                <w:color w:val="000000"/>
                <w:kern w:val="0"/>
                <w:sz w:val="18"/>
                <w:szCs w:val="18"/>
              </w:rPr>
              <w:t>指标1：</w:t>
            </w:r>
            <w:r>
              <w:rPr>
                <w:rFonts w:hint="eastAsia"/>
                <w:kern w:val="0"/>
                <w:sz w:val="20"/>
              </w:rPr>
              <w:t>项目预算控制数</w:t>
            </w:r>
          </w:p>
          <w:p>
            <w:pPr>
              <w:widowControl/>
              <w:spacing w:line="240" w:lineRule="exact"/>
              <w:jc w:val="left"/>
              <w:rPr>
                <w:rFonts w:ascii="宋体" w:hAnsi="宋体" w:eastAsia="宋体" w:cs="宋体"/>
                <w:color w:val="000000"/>
                <w:kern w:val="0"/>
                <w:sz w:val="18"/>
                <w:szCs w:val="18"/>
              </w:rPr>
            </w:pP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val="en-US" w:eastAsia="zh-CN"/>
              </w:rPr>
              <w:t>25万元</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26</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247718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14.58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2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社会效益</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解决辖区内群众突发性、紧迫性、临时性的困难，确保有困难的群众都能求助有门，并按规定得到及时救助，帮助困难群众拜托临时困境，为辖区社会救助对象、残疾人及残疾人子女提供教育救助、补助，帮助他们顺利完成学业，保障辖区的和谐稳定，有利于充分大会社会救助托底线、救急难作用</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lang w:eastAsia="zh-CN"/>
              </w:rPr>
              <w:t>解决辖区内群众突发性、紧迫性、临时性的困难，确保有困难的群众都能求助有门，并按规定得到及时救助，帮助困难群众拜托临时困境，为辖区社会救助对象、残疾人及残疾人子女提供教育救助、补助，帮助他们顺利完成学业，保障辖区的和谐稳定，有利于充分大会社会救助托底线、救急难作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无</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lang w:eastAsia="zh-CN"/>
              </w:rPr>
              <w:t>受保障</w:t>
            </w:r>
            <w:r>
              <w:rPr>
                <w:rFonts w:hint="eastAsia" w:eastAsia="宋体"/>
                <w:kern w:val="0"/>
                <w:sz w:val="20"/>
                <w:lang w:eastAsia="zh-CN"/>
              </w:rPr>
              <w:t>群体的满意度</w:t>
            </w:r>
          </w:p>
        </w:tc>
        <w:tc>
          <w:tcPr>
            <w:tcW w:w="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≥90%</w:t>
            </w: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kern w:val="0"/>
                <w:sz w:val="20"/>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1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89.58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both"/>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7AC1827"/>
    <w:rsid w:val="2E03249E"/>
    <w:rsid w:val="3FF6FDFC"/>
    <w:rsid w:val="426E176E"/>
    <w:rsid w:val="47086392"/>
    <w:rsid w:val="56DB7DF3"/>
    <w:rsid w:val="6FAB3363"/>
    <w:rsid w:val="AEFB5BBC"/>
    <w:rsid w:val="AFAE7A49"/>
    <w:rsid w:val="B7B6608A"/>
    <w:rsid w:val="DFBB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Words>
  <Characters>637</Characters>
  <Lines>5</Lines>
  <Paragraphs>1</Paragraphs>
  <TotalTime>1</TotalTime>
  <ScaleCrop>false</ScaleCrop>
  <LinksUpToDate>false</LinksUpToDate>
  <CharactersWithSpaces>747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2022-02-10T07:11:00Z</dcterms:created>
  <dc:creator>王雅婧</dc:creator>
  <cp:lastModifiedBy>Administrator</cp:lastModifiedBy>
  <dcterms:modified xsi:type="dcterms:W3CDTF">2025-08-26T08:33:39Z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FE034B2874CC2F6B6AC7FD6715456C83</vt:lpwstr>
  </property>
</Properties>
</file>