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社区办公经费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0"/>
                <w:lang w:val="en-US" w:eastAsia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45.5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42.561241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93.5</w:t>
            </w:r>
            <w:r>
              <w:rPr>
                <w:rFonts w:hint="default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45.5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保证社区办公用房正常使用，维持社区日常办公支出，为居民提供服务。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保证社区办公用房正常使用，维持社区日常办公支出，为居民提供服务。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支付社区日常办公费，社区办公用房维修、改造费用，社区办公用房物业、取暖、水电等费用，临时性工作杂费。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符合相关文件和使用需要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总预算控制在50.325777万元以内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保证社区办公用房正常使用。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维持社区日常办公支出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保证社区正常开展工作，为居民顺利开展服务工作。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促进社区发展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社区和居民满意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268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98D0282"/>
    <w:rsid w:val="19825164"/>
    <w:rsid w:val="30D1063D"/>
    <w:rsid w:val="31D6514A"/>
    <w:rsid w:val="354A1F5C"/>
    <w:rsid w:val="433A543A"/>
    <w:rsid w:val="54554686"/>
    <w:rsid w:val="56323FBA"/>
    <w:rsid w:val="5B8F12C2"/>
    <w:rsid w:val="5E7831F0"/>
    <w:rsid w:val="70301A8C"/>
    <w:rsid w:val="714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86A92B68B2C74D139C12317D7DB5A6A8</vt:lpwstr>
  </property>
</Properties>
</file>