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7F6BF">
      <w:pPr>
        <w:jc w:val="center"/>
        <w:rPr>
          <w:rFonts w:ascii="仿宋_GB2312" w:eastAsia="仿宋_GB2312"/>
          <w:b/>
          <w:sz w:val="32"/>
          <w:szCs w:val="32"/>
        </w:rPr>
      </w:pPr>
    </w:p>
    <w:p w14:paraId="0E2C9ED5">
      <w:pPr>
        <w:jc w:val="center"/>
        <w:rPr>
          <w:rFonts w:ascii="黑体" w:eastAsia="黑体"/>
          <w:sz w:val="72"/>
          <w:szCs w:val="72"/>
        </w:rPr>
      </w:pPr>
    </w:p>
    <w:p w14:paraId="0F3B3D99">
      <w:pPr>
        <w:jc w:val="center"/>
        <w:rPr>
          <w:rFonts w:ascii="黑体" w:eastAsia="黑体"/>
          <w:sz w:val="72"/>
          <w:szCs w:val="72"/>
        </w:rPr>
      </w:pPr>
    </w:p>
    <w:p w14:paraId="2EDC6A50">
      <w:pPr>
        <w:jc w:val="center"/>
        <w:rPr>
          <w:rFonts w:ascii="黑体" w:eastAsia="黑体"/>
          <w:sz w:val="72"/>
          <w:szCs w:val="72"/>
        </w:rPr>
      </w:pPr>
    </w:p>
    <w:p w14:paraId="4350B1FD">
      <w:pPr>
        <w:jc w:val="center"/>
        <w:rPr>
          <w:rFonts w:ascii="黑体" w:eastAsia="黑体"/>
          <w:sz w:val="72"/>
          <w:szCs w:val="72"/>
        </w:rPr>
      </w:pPr>
    </w:p>
    <w:p w14:paraId="2F3359F0">
      <w:pPr>
        <w:jc w:val="center"/>
        <w:rPr>
          <w:rFonts w:ascii="黑体" w:eastAsia="黑体"/>
          <w:sz w:val="72"/>
          <w:szCs w:val="72"/>
        </w:rPr>
      </w:pPr>
      <w:r>
        <w:rPr>
          <w:rFonts w:hint="eastAsia" w:ascii="黑体" w:eastAsia="黑体"/>
          <w:sz w:val="72"/>
          <w:szCs w:val="72"/>
        </w:rPr>
        <w:t>202</w:t>
      </w:r>
      <w:r>
        <w:rPr>
          <w:rFonts w:hint="eastAsia" w:ascii="黑体" w:eastAsia="黑体"/>
          <w:sz w:val="72"/>
          <w:szCs w:val="72"/>
          <w:lang w:val="en-US" w:eastAsia="zh-CN"/>
        </w:rPr>
        <w:t>4</w:t>
      </w:r>
      <w:r>
        <w:rPr>
          <w:rFonts w:hint="eastAsia" w:ascii="黑体" w:eastAsia="黑体"/>
          <w:sz w:val="72"/>
          <w:szCs w:val="72"/>
        </w:rPr>
        <w:t>年度部门决算（</w:t>
      </w:r>
      <w:r>
        <w:rPr>
          <w:rFonts w:hint="eastAsia" w:ascii="黑体" w:eastAsia="黑体"/>
          <w:sz w:val="72"/>
          <w:szCs w:val="72"/>
          <w:lang w:val="en-US" w:eastAsia="zh-CN"/>
        </w:rPr>
        <w:t>公开</w:t>
      </w:r>
      <w:r>
        <w:rPr>
          <w:rFonts w:ascii="黑体" w:eastAsia="黑体"/>
          <w:sz w:val="72"/>
          <w:szCs w:val="72"/>
        </w:rPr>
        <w:t>）</w:t>
      </w:r>
    </w:p>
    <w:p w14:paraId="369F1141">
      <w:pPr>
        <w:pStyle w:val="2"/>
        <w:rPr>
          <w:rFonts w:ascii="黑体" w:eastAsia="黑体"/>
          <w:sz w:val="72"/>
          <w:szCs w:val="72"/>
        </w:rPr>
      </w:pPr>
    </w:p>
    <w:p w14:paraId="7D68A0A1"/>
    <w:p w14:paraId="23F25817">
      <w:pPr>
        <w:jc w:val="center"/>
        <w:rPr>
          <w:rFonts w:ascii="黑体" w:eastAsia="黑体"/>
          <w:sz w:val="52"/>
          <w:szCs w:val="52"/>
        </w:rPr>
      </w:pPr>
    </w:p>
    <w:p w14:paraId="5CF3B2D6">
      <w:pPr>
        <w:jc w:val="center"/>
        <w:rPr>
          <w:rFonts w:ascii="黑体" w:eastAsia="黑体"/>
          <w:sz w:val="52"/>
          <w:szCs w:val="52"/>
        </w:rPr>
      </w:pPr>
    </w:p>
    <w:p w14:paraId="558FEA2F">
      <w:pPr>
        <w:jc w:val="center"/>
        <w:rPr>
          <w:rFonts w:ascii="黑体" w:eastAsia="黑体"/>
          <w:sz w:val="32"/>
          <w:szCs w:val="32"/>
        </w:rPr>
      </w:pPr>
    </w:p>
    <w:p w14:paraId="2017F056">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14:paraId="151F6B64">
      <w:pPr>
        <w:spacing w:line="500" w:lineRule="exact"/>
        <w:ind w:firstLine="645"/>
        <w:jc w:val="center"/>
        <w:rPr>
          <w:rFonts w:hint="eastAsia" w:ascii="宋体" w:hAnsi="宋体" w:cs="宋体"/>
          <w:b/>
          <w:bCs/>
          <w:kern w:val="0"/>
          <w:sz w:val="36"/>
          <w:szCs w:val="36"/>
        </w:rPr>
      </w:pPr>
    </w:p>
    <w:p w14:paraId="591EAE76">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4</w:t>
      </w:r>
      <w:r>
        <w:rPr>
          <w:rFonts w:hint="eastAsia" w:ascii="宋体" w:hAnsi="宋体" w:cs="宋体"/>
          <w:bCs/>
          <w:spacing w:val="40"/>
          <w:kern w:val="0"/>
          <w:sz w:val="32"/>
          <w:szCs w:val="32"/>
        </w:rPr>
        <w:t>年度部门决算报表</w:t>
      </w:r>
    </w:p>
    <w:p w14:paraId="7CDD3188">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14:paraId="07905EE7">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14:paraId="33AD0C38">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14:paraId="526E3180">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14:paraId="249B2692">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五、一般公共预算财政拨款支出决算表</w:t>
      </w:r>
    </w:p>
    <w:p w14:paraId="76216C5F">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w:t>
      </w:r>
      <w:r>
        <w:rPr>
          <w:rFonts w:ascii="仿宋_GB2312" w:hAnsi="仿宋" w:eastAsia="仿宋_GB2312" w:cs="宋体"/>
          <w:bCs/>
          <w:spacing w:val="40"/>
          <w:kern w:val="0"/>
          <w:sz w:val="32"/>
          <w:szCs w:val="32"/>
        </w:rPr>
        <w:t>基本支出决算表</w:t>
      </w:r>
    </w:p>
    <w:p w14:paraId="20D36CA5">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七</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14:paraId="01CD4ABC">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八</w:t>
      </w:r>
      <w:r>
        <w:rPr>
          <w:rFonts w:hint="eastAsia" w:ascii="仿宋_GB2312" w:hAnsi="仿宋" w:eastAsia="仿宋_GB2312" w:cs="宋体"/>
          <w:bCs/>
          <w:spacing w:val="40"/>
          <w:kern w:val="0"/>
          <w:sz w:val="32"/>
          <w:szCs w:val="32"/>
        </w:rPr>
        <w:t>、</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14:paraId="78B4E533">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九</w:t>
      </w:r>
      <w:r>
        <w:rPr>
          <w:rFonts w:hint="eastAsia" w:ascii="仿宋_GB2312" w:hAnsi="仿宋" w:eastAsia="仿宋_GB2312" w:cs="宋体"/>
          <w:bCs/>
          <w:spacing w:val="40"/>
          <w:kern w:val="0"/>
          <w:sz w:val="32"/>
          <w:szCs w:val="32"/>
        </w:rPr>
        <w:t>、国有资本经营预算财政拨款支出决算表</w:t>
      </w:r>
    </w:p>
    <w:p w14:paraId="31D046FE">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十、财政拨款“三公”经费支出决算表</w:t>
      </w:r>
    </w:p>
    <w:p w14:paraId="548088A0">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十一、政府采购情况表</w:t>
      </w:r>
    </w:p>
    <w:p w14:paraId="448F2497">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w:t>
      </w:r>
      <w:r>
        <w:rPr>
          <w:rFonts w:hint="eastAsia" w:ascii="仿宋_GB2312" w:hAnsi="仿宋" w:eastAsia="仿宋_GB2312" w:cs="宋体"/>
          <w:bCs/>
          <w:spacing w:val="40"/>
          <w:kern w:val="0"/>
          <w:sz w:val="32"/>
          <w:szCs w:val="32"/>
          <w:lang w:eastAsia="zh-CN"/>
        </w:rPr>
        <w:t>二</w:t>
      </w:r>
      <w:r>
        <w:rPr>
          <w:rFonts w:hint="eastAsia" w:ascii="仿宋_GB2312" w:hAnsi="仿宋" w:eastAsia="仿宋_GB2312" w:cs="宋体"/>
          <w:bCs/>
          <w:spacing w:val="40"/>
          <w:kern w:val="0"/>
          <w:sz w:val="32"/>
          <w:szCs w:val="32"/>
        </w:rPr>
        <w:t>、政府购买服务决算公开情况表</w:t>
      </w:r>
    </w:p>
    <w:p w14:paraId="1FE73D28">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4</w:t>
      </w:r>
      <w:r>
        <w:rPr>
          <w:rFonts w:hint="eastAsia" w:ascii="宋体" w:hAnsi="宋体"/>
          <w:spacing w:val="40"/>
          <w:sz w:val="32"/>
          <w:szCs w:val="32"/>
        </w:rPr>
        <w:t>年度部门决算说明</w:t>
      </w:r>
    </w:p>
    <w:p w14:paraId="133C2461">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4</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14:paraId="63154B7B">
      <w:pPr>
        <w:tabs>
          <w:tab w:val="center" w:pos="6979"/>
        </w:tabs>
        <w:spacing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4</w:t>
      </w:r>
      <w:r>
        <w:rPr>
          <w:rFonts w:hint="eastAsia" w:ascii="宋体" w:hAnsi="宋体" w:cs="宋体"/>
          <w:spacing w:val="40"/>
          <w:kern w:val="0"/>
          <w:sz w:val="32"/>
          <w:szCs w:val="32"/>
        </w:rPr>
        <w:t>年度部门绩效评价情况</w:t>
      </w:r>
    </w:p>
    <w:p w14:paraId="6C9E3A46">
      <w:pPr>
        <w:tabs>
          <w:tab w:val="center" w:pos="6979"/>
        </w:tabs>
        <w:spacing w:before="156" w:beforeLines="50" w:after="156" w:afterLines="50"/>
        <w:jc w:val="center"/>
        <w:rPr>
          <w:rFonts w:ascii="宋体" w:hAnsi="宋体" w:cs="宋体"/>
          <w:b/>
          <w:bCs/>
          <w:spacing w:val="40"/>
          <w:kern w:val="0"/>
          <w:sz w:val="32"/>
          <w:szCs w:val="32"/>
        </w:rPr>
      </w:pPr>
    </w:p>
    <w:p w14:paraId="72A534A3">
      <w:pPr>
        <w:tabs>
          <w:tab w:val="center" w:pos="6979"/>
        </w:tabs>
        <w:spacing w:before="156" w:beforeLines="50" w:after="156" w:afterLines="50"/>
        <w:jc w:val="center"/>
        <w:rPr>
          <w:rFonts w:ascii="宋体" w:hAnsi="宋体" w:cs="宋体"/>
          <w:b/>
          <w:bCs/>
          <w:spacing w:val="40"/>
          <w:kern w:val="0"/>
          <w:sz w:val="32"/>
          <w:szCs w:val="32"/>
        </w:rPr>
      </w:pPr>
    </w:p>
    <w:p w14:paraId="2896DA0B">
      <w:pPr>
        <w:tabs>
          <w:tab w:val="center" w:pos="6979"/>
        </w:tabs>
        <w:spacing w:before="156" w:beforeLines="50" w:after="156" w:afterLines="50"/>
        <w:jc w:val="center"/>
        <w:rPr>
          <w:rFonts w:ascii="宋体" w:hAnsi="宋体" w:cs="宋体"/>
          <w:b/>
          <w:bCs/>
          <w:spacing w:val="40"/>
          <w:kern w:val="0"/>
          <w:sz w:val="32"/>
          <w:szCs w:val="32"/>
        </w:rPr>
      </w:pPr>
    </w:p>
    <w:p w14:paraId="66A68176">
      <w:pPr>
        <w:tabs>
          <w:tab w:val="center" w:pos="6979"/>
        </w:tabs>
        <w:spacing w:before="156" w:beforeLines="50" w:after="156" w:afterLines="50"/>
        <w:jc w:val="center"/>
        <w:rPr>
          <w:rFonts w:ascii="宋体" w:hAnsi="宋体" w:cs="宋体"/>
          <w:b/>
          <w:bCs/>
          <w:spacing w:val="40"/>
          <w:kern w:val="0"/>
          <w:sz w:val="32"/>
          <w:szCs w:val="32"/>
        </w:rPr>
      </w:pPr>
    </w:p>
    <w:p w14:paraId="3DB1D928">
      <w:pPr>
        <w:tabs>
          <w:tab w:val="center" w:pos="6979"/>
        </w:tabs>
        <w:spacing w:before="156" w:beforeLines="50" w:after="156" w:afterLines="50"/>
        <w:jc w:val="center"/>
        <w:rPr>
          <w:rFonts w:ascii="宋体" w:hAnsi="宋体" w:cs="宋体"/>
          <w:b/>
          <w:bCs/>
          <w:spacing w:val="40"/>
          <w:kern w:val="0"/>
          <w:sz w:val="32"/>
          <w:szCs w:val="32"/>
        </w:rPr>
      </w:pPr>
    </w:p>
    <w:p w14:paraId="118EA9AE">
      <w:pPr>
        <w:tabs>
          <w:tab w:val="center" w:pos="6979"/>
        </w:tabs>
        <w:spacing w:before="156" w:beforeLines="50" w:after="156" w:afterLines="50"/>
        <w:jc w:val="center"/>
        <w:rPr>
          <w:rFonts w:ascii="宋体" w:hAnsi="宋体" w:cs="宋体"/>
          <w:b/>
          <w:bCs/>
          <w:spacing w:val="40"/>
          <w:kern w:val="0"/>
          <w:sz w:val="32"/>
          <w:szCs w:val="32"/>
        </w:rPr>
      </w:pPr>
      <w:r>
        <w:rPr>
          <w:rFonts w:hint="eastAsia" w:ascii="宋体" w:hAnsi="宋体" w:cs="宋体"/>
          <w:b/>
          <w:bCs/>
          <w:spacing w:val="40"/>
          <w:kern w:val="0"/>
          <w:sz w:val="44"/>
          <w:szCs w:val="44"/>
        </w:rPr>
        <w:t xml:space="preserve">第一部分 </w:t>
      </w:r>
      <w:r>
        <w:rPr>
          <w:rFonts w:hint="eastAsia" w:ascii="宋体" w:hAnsi="宋体" w:cs="宋体"/>
          <w:b/>
          <w:bCs/>
          <w:spacing w:val="40"/>
          <w:kern w:val="0"/>
          <w:sz w:val="44"/>
          <w:szCs w:val="44"/>
          <w:lang w:eastAsia="zh-CN"/>
        </w:rPr>
        <w:t>2024</w:t>
      </w:r>
      <w:r>
        <w:rPr>
          <w:rFonts w:hint="eastAsia" w:ascii="宋体" w:hAnsi="宋体" w:cs="宋体"/>
          <w:b/>
          <w:bCs/>
          <w:spacing w:val="40"/>
          <w:kern w:val="0"/>
          <w:sz w:val="44"/>
          <w:szCs w:val="44"/>
        </w:rPr>
        <w:t>年度部门决算报表</w:t>
      </w:r>
    </w:p>
    <w:p w14:paraId="17859B32">
      <w:pPr>
        <w:pStyle w:val="2"/>
        <w:rPr>
          <w:b w:val="0"/>
          <w:bCs w:val="0"/>
        </w:rPr>
        <w:sectPr>
          <w:footerReference r:id="rId3" w:type="default"/>
          <w:pgSz w:w="16838" w:h="11906" w:orient="landscape"/>
          <w:pgMar w:top="1134" w:right="1134" w:bottom="1134" w:left="1134" w:header="851" w:footer="992" w:gutter="0"/>
          <w:cols w:space="720" w:num="1"/>
          <w:docGrid w:type="linesAndChars" w:linePitch="312" w:charSpace="0"/>
        </w:sectPr>
      </w:pPr>
      <w:r>
        <w:rPr>
          <w:rFonts w:hint="eastAsia" w:ascii="仿宋_GB2312" w:eastAsia="仿宋_GB2312"/>
          <w:sz w:val="28"/>
          <w:szCs w:val="28"/>
        </w:rPr>
        <w:t xml:space="preserve">   </w:t>
      </w:r>
      <w:r>
        <w:rPr>
          <w:rFonts w:hint="eastAsia" w:ascii="仿宋_GB2312" w:eastAsia="仿宋_GB2312"/>
          <w:b w:val="0"/>
          <w:bCs w:val="0"/>
          <w:sz w:val="28"/>
          <w:szCs w:val="28"/>
        </w:rPr>
        <w:t>报表详见附件。</w:t>
      </w:r>
    </w:p>
    <w:p w14:paraId="3099268A">
      <w:pPr>
        <w:tabs>
          <w:tab w:val="center" w:pos="6979"/>
        </w:tabs>
        <w:spacing w:before="156" w:beforeLines="50" w:after="156" w:afterLines="50"/>
        <w:jc w:val="center"/>
        <w:rPr>
          <w:rFonts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lang w:eastAsia="zh-CN"/>
        </w:rPr>
        <w:t>2024</w:t>
      </w:r>
      <w:r>
        <w:rPr>
          <w:rFonts w:hint="eastAsia" w:ascii="宋体" w:hAnsi="宋体"/>
          <w:b/>
          <w:spacing w:val="40"/>
          <w:sz w:val="32"/>
          <w:szCs w:val="32"/>
        </w:rPr>
        <w:t>年度部门决算说明</w:t>
      </w:r>
    </w:p>
    <w:p w14:paraId="18197A84">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一、部门/单位基本情况</w:t>
      </w:r>
    </w:p>
    <w:p w14:paraId="7024CDA4">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（一）机构</w:t>
      </w:r>
      <w:r>
        <w:rPr>
          <w:rFonts w:ascii="仿宋_GB2312" w:eastAsia="仿宋_GB2312"/>
          <w:sz w:val="28"/>
          <w:szCs w:val="28"/>
        </w:rPr>
        <w:t>设置、</w:t>
      </w:r>
      <w:r>
        <w:rPr>
          <w:rFonts w:hint="eastAsia" w:ascii="仿宋_GB2312" w:eastAsia="仿宋_GB2312"/>
          <w:sz w:val="28"/>
          <w:szCs w:val="28"/>
        </w:rPr>
        <w:t>职责</w:t>
      </w:r>
    </w:p>
    <w:p w14:paraId="7D30ADB0">
      <w:pPr>
        <w:tabs>
          <w:tab w:val="center" w:pos="6979"/>
        </w:tabs>
        <w:spacing w:line="580" w:lineRule="exact"/>
        <w:ind w:firstLine="57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（一）部门机构设置、职责</w:t>
      </w:r>
    </w:p>
    <w:p w14:paraId="66806BBE">
      <w:pPr>
        <w:tabs>
          <w:tab w:val="center" w:pos="6979"/>
        </w:tabs>
        <w:spacing w:line="580" w:lineRule="exact"/>
        <w:ind w:firstLine="57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1、机构设置</w:t>
      </w:r>
    </w:p>
    <w:p w14:paraId="3580E15F">
      <w:pPr>
        <w:tabs>
          <w:tab w:val="center" w:pos="6979"/>
        </w:tabs>
        <w:spacing w:line="580" w:lineRule="exact"/>
        <w:ind w:firstLine="570"/>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rPr>
        <w:t xml:space="preserve">   本部门包括行政单位1个</w:t>
      </w:r>
      <w:r>
        <w:rPr>
          <w:rFonts w:hint="eastAsia" w:ascii="仿宋_GB2312" w:hAnsi="Times New Roman" w:eastAsia="仿宋_GB2312" w:cs="Times New Roman"/>
          <w:sz w:val="28"/>
          <w:szCs w:val="28"/>
          <w:lang w:eastAsia="zh-CN"/>
        </w:rPr>
        <w:t>。</w:t>
      </w:r>
    </w:p>
    <w:p w14:paraId="6F8732B0">
      <w:pPr>
        <w:tabs>
          <w:tab w:val="center" w:pos="6979"/>
        </w:tabs>
        <w:spacing w:line="580" w:lineRule="exact"/>
        <w:ind w:firstLine="57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2、部门职能：</w:t>
      </w:r>
    </w:p>
    <w:p w14:paraId="45F57BE5">
      <w:pPr>
        <w:tabs>
          <w:tab w:val="center" w:pos="6979"/>
        </w:tabs>
        <w:spacing w:line="580" w:lineRule="exact"/>
        <w:ind w:firstLine="57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w:t>
      </w:r>
      <w:r>
        <w:rPr>
          <w:rFonts w:hint="eastAsia" w:ascii="仿宋_GB2312" w:hAnsi="Times New Roman" w:eastAsia="仿宋_GB2312" w:cs="Times New Roman"/>
          <w:sz w:val="28"/>
          <w:szCs w:val="28"/>
          <w:lang w:eastAsia="zh-CN"/>
        </w:rPr>
        <w:t>根据区委办公室印发区科协机关主要职责内设机构和人员编制规定（京西办发〔2012〕44号），</w:t>
      </w:r>
      <w:r>
        <w:rPr>
          <w:rFonts w:hint="eastAsia" w:ascii="仿宋_GB2312" w:hAnsi="Times New Roman" w:eastAsia="仿宋_GB2312" w:cs="Times New Roman"/>
          <w:sz w:val="28"/>
          <w:szCs w:val="28"/>
        </w:rPr>
        <w:t>北京市西城区科学技术协会是西城区科学技术工作者的群众组织，是中国共产党领导下的人民团体，是区委、区政府联系科学技术工作者的桥梁和纽带，是推动区域科学技术事业发展的重要力量。其机关主要职责是：</w:t>
      </w:r>
    </w:p>
    <w:p w14:paraId="389BF3B3">
      <w:pPr>
        <w:tabs>
          <w:tab w:val="center" w:pos="6979"/>
        </w:tabs>
        <w:spacing w:line="580" w:lineRule="exact"/>
        <w:ind w:firstLine="57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（1）开展学术交流活动，活跃学术思想，促进学科发展和经济建设的决策科学化、民主化。</w:t>
      </w:r>
    </w:p>
    <w:p w14:paraId="61267CF3">
      <w:pPr>
        <w:tabs>
          <w:tab w:val="center" w:pos="6979"/>
        </w:tabs>
        <w:spacing w:line="580" w:lineRule="exact"/>
        <w:ind w:firstLine="57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（2）推进科学技术传播与应用，促进科技成果转化；推动科学研究诚信监督机制的建立和完善，促进科学道德和学风建设。</w:t>
      </w:r>
    </w:p>
    <w:p w14:paraId="3F79F200">
      <w:pPr>
        <w:tabs>
          <w:tab w:val="center" w:pos="6979"/>
        </w:tabs>
        <w:spacing w:line="580" w:lineRule="exact"/>
        <w:ind w:firstLine="57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（3）负责落实全民科学素质建设工作；负责群众科普工作，组织开展科普活动；推动建立科普资源共建共享，形成社会化科普格局。</w:t>
      </w:r>
    </w:p>
    <w:p w14:paraId="0CB5CC6F">
      <w:pPr>
        <w:tabs>
          <w:tab w:val="center" w:pos="6979"/>
        </w:tabs>
        <w:spacing w:line="580" w:lineRule="exact"/>
        <w:ind w:firstLine="57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（4）组织开展青少年科技教育活动，培养青少年创新思维和实践能力，提高青少年综合素质。</w:t>
      </w:r>
    </w:p>
    <w:p w14:paraId="59C1230F">
      <w:pPr>
        <w:tabs>
          <w:tab w:val="center" w:pos="6979"/>
        </w:tabs>
        <w:spacing w:line="580" w:lineRule="exact"/>
        <w:ind w:firstLine="57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（5）开展与国际及港澳台地区的民间科技交流合作，发展同国内外科技团体、工作者的友好交往。</w:t>
      </w:r>
    </w:p>
    <w:p w14:paraId="2E99FF7A">
      <w:pPr>
        <w:tabs>
          <w:tab w:val="center" w:pos="6979"/>
        </w:tabs>
        <w:spacing w:line="580" w:lineRule="exact"/>
        <w:ind w:firstLine="57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（6）开展捍卫科学尊严、破除愚昧迷信、反对邪教和伪科学工作。</w:t>
      </w:r>
    </w:p>
    <w:p w14:paraId="74525BA4">
      <w:pPr>
        <w:tabs>
          <w:tab w:val="center" w:pos="6979"/>
        </w:tabs>
        <w:spacing w:line="580" w:lineRule="exact"/>
        <w:ind w:firstLine="57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（7）建设科技工作者之家，反映科技工作者的意见、需求，支持、帮助科技工作者维护合法权益，为科技团体和科技工作者服务。</w:t>
      </w:r>
    </w:p>
    <w:p w14:paraId="42A84A8F">
      <w:pPr>
        <w:tabs>
          <w:tab w:val="center" w:pos="6979"/>
        </w:tabs>
        <w:spacing w:line="580" w:lineRule="exact"/>
        <w:ind w:firstLine="57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（8）负责组织科技工作者围绕区域发展开展调查研究、决策论证和咨询服务，提出政策建议；参与科技规划及政策法规制定、政治协商、民主监督工作。</w:t>
      </w:r>
    </w:p>
    <w:p w14:paraId="5F23CE58">
      <w:pPr>
        <w:tabs>
          <w:tab w:val="center" w:pos="6979"/>
        </w:tabs>
        <w:spacing w:line="580" w:lineRule="exact"/>
        <w:ind w:firstLine="57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（9）负责党和政府联系科技工作者工作；推荐区域优秀科技人才，指导培养科普人才，指导开展科技工作者的继续教育和培训工作。</w:t>
      </w:r>
    </w:p>
    <w:p w14:paraId="287DF86F">
      <w:pPr>
        <w:tabs>
          <w:tab w:val="center" w:pos="6979"/>
        </w:tabs>
        <w:spacing w:line="580" w:lineRule="exact"/>
        <w:ind w:firstLine="57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（10）负责指导科技类社会组织开展学术交流和学术研究，加强科技类社会组织间的联系，促进学科间的交流。</w:t>
      </w:r>
    </w:p>
    <w:p w14:paraId="3FB43698">
      <w:pPr>
        <w:tabs>
          <w:tab w:val="center" w:pos="6979"/>
        </w:tabs>
        <w:spacing w:line="580" w:lineRule="exact"/>
        <w:ind w:firstLine="57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（11）承办区委、区政府和上级业务指导部门交办的其他事项。</w:t>
      </w:r>
    </w:p>
    <w:p w14:paraId="1CBBF6F9">
      <w:pPr>
        <w:tabs>
          <w:tab w:val="center" w:pos="6979"/>
        </w:tabs>
        <w:spacing w:line="580" w:lineRule="exact"/>
        <w:ind w:firstLine="57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西城区科学技术协会</w:t>
      </w:r>
      <w:r>
        <w:rPr>
          <w:rFonts w:hint="eastAsia" w:ascii="仿宋_GB2312" w:hAnsi="Times New Roman" w:eastAsia="仿宋_GB2312" w:cs="Times New Roman"/>
          <w:sz w:val="28"/>
          <w:szCs w:val="28"/>
          <w:lang w:eastAsia="zh-CN"/>
        </w:rPr>
        <w:t>（本级）</w:t>
      </w:r>
      <w:r>
        <w:rPr>
          <w:rFonts w:hint="eastAsia" w:ascii="仿宋_GB2312" w:hAnsi="Times New Roman" w:eastAsia="仿宋_GB2312" w:cs="Times New Roman"/>
          <w:sz w:val="28"/>
          <w:szCs w:val="28"/>
        </w:rPr>
        <w:t>本次决算公开数据</w:t>
      </w:r>
      <w:r>
        <w:rPr>
          <w:rFonts w:hint="eastAsia" w:ascii="仿宋_GB2312" w:hAnsi="Times New Roman" w:eastAsia="仿宋_GB2312" w:cs="Times New Roman"/>
          <w:sz w:val="28"/>
          <w:szCs w:val="28"/>
          <w:lang w:eastAsia="zh-CN"/>
        </w:rPr>
        <w:t>是区科协本级数据</w:t>
      </w:r>
    </w:p>
    <w:p w14:paraId="20D2ADCB">
      <w:pPr>
        <w:tabs>
          <w:tab w:val="center" w:pos="6979"/>
        </w:tabs>
        <w:spacing w:line="580" w:lineRule="exact"/>
        <w:rPr>
          <w:rFonts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14:paraId="7B5811C3">
      <w:pPr>
        <w:tabs>
          <w:tab w:val="center" w:pos="6979"/>
        </w:tabs>
        <w:spacing w:line="580" w:lineRule="exact"/>
        <w:ind w:firstLine="570"/>
        <w:rPr>
          <w:rFonts w:hint="eastAsia" w:ascii="仿宋_GB2312" w:eastAsia="仿宋_GB2312"/>
          <w:sz w:val="28"/>
          <w:szCs w:val="28"/>
          <w:lang w:val="en-US" w:eastAsia="zh-CN"/>
        </w:rPr>
      </w:pPr>
      <w:r>
        <w:rPr>
          <w:rFonts w:hint="eastAsia" w:ascii="仿宋_GB2312" w:eastAsia="仿宋_GB2312"/>
          <w:sz w:val="28"/>
          <w:szCs w:val="28"/>
          <w:lang w:eastAsia="zh-CN"/>
        </w:rPr>
        <w:t>2024</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601.16</w:t>
      </w:r>
      <w:r>
        <w:rPr>
          <w:rFonts w:hint="eastAsia" w:ascii="仿宋_GB2312" w:eastAsia="仿宋_GB2312"/>
          <w:sz w:val="28"/>
          <w:szCs w:val="28"/>
        </w:rPr>
        <w:t>万元。</w:t>
      </w:r>
    </w:p>
    <w:p w14:paraId="2192D91A">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14:paraId="3051001E">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lang w:eastAsia="zh-CN"/>
        </w:rPr>
        <w:t>2024</w:t>
      </w:r>
      <w:r>
        <w:rPr>
          <w:rFonts w:hint="eastAsia" w:ascii="仿宋_GB2312" w:eastAsia="仿宋_GB2312"/>
          <w:sz w:val="28"/>
          <w:szCs w:val="28"/>
        </w:rPr>
        <w:t>年度本年收入合计</w:t>
      </w:r>
      <w:r>
        <w:rPr>
          <w:rFonts w:ascii="仿宋_GB2312" w:eastAsia="仿宋_GB2312"/>
          <w:sz w:val="28"/>
          <w:szCs w:val="28"/>
        </w:rPr>
        <w:t>601.16</w:t>
      </w:r>
      <w:r>
        <w:rPr>
          <w:rFonts w:hint="eastAsia" w:ascii="仿宋_GB2312" w:eastAsia="仿宋_GB2312"/>
          <w:sz w:val="28"/>
          <w:szCs w:val="28"/>
        </w:rPr>
        <w:t>万元</w:t>
      </w:r>
      <w:r>
        <w:rPr>
          <w:rFonts w:hint="eastAsia" w:ascii="仿宋_GB2312" w:eastAsia="仿宋_GB2312"/>
          <w:sz w:val="28"/>
          <w:szCs w:val="28"/>
          <w:lang w:eastAsia="zh-CN"/>
        </w:rPr>
        <w:t>。</w:t>
      </w:r>
    </w:p>
    <w:p w14:paraId="524F4108">
      <w:pPr>
        <w:tabs>
          <w:tab w:val="center" w:pos="6979"/>
        </w:tabs>
        <w:spacing w:line="580" w:lineRule="exact"/>
        <w:ind w:firstLine="560" w:firstLineChars="200"/>
      </w:pPr>
      <w:r>
        <w:rPr>
          <w:rFonts w:hint="eastAsia" w:ascii="仿宋_GB2312" w:eastAsia="仿宋_GB2312"/>
          <w:sz w:val="28"/>
          <w:szCs w:val="28"/>
        </w:rPr>
        <w:t>1.财政拨款收入</w:t>
      </w:r>
      <w:r>
        <w:rPr>
          <w:rFonts w:ascii="仿宋_GB2312" w:eastAsia="仿宋_GB2312"/>
          <w:sz w:val="28"/>
          <w:szCs w:val="28"/>
        </w:rPr>
        <w:t>601.16</w:t>
      </w:r>
      <w:r>
        <w:rPr>
          <w:rFonts w:hint="eastAsia" w:ascii="仿宋_GB2312" w:eastAsia="仿宋_GB2312"/>
          <w:sz w:val="28"/>
          <w:szCs w:val="28"/>
        </w:rPr>
        <w:t>万元，占收入合计的</w:t>
      </w:r>
      <w:r>
        <w:rPr>
          <w:rFonts w:hint="eastAsia" w:ascii="仿宋_GB2312" w:eastAsia="仿宋_GB2312"/>
          <w:sz w:val="28"/>
          <w:szCs w:val="28"/>
          <w:lang w:eastAsia="zh-CN"/>
        </w:rPr>
        <w:t>100%</w:t>
      </w:r>
      <w:r>
        <w:rPr>
          <w:rFonts w:hint="eastAsia" w:ascii="仿宋_GB2312" w:eastAsia="仿宋_GB2312"/>
          <w:sz w:val="28"/>
          <w:szCs w:val="28"/>
        </w:rPr>
        <w:t>。其中：一般公共预算财政拨款收入</w:t>
      </w:r>
      <w:r>
        <w:rPr>
          <w:rFonts w:ascii="仿宋_GB2312" w:eastAsia="仿宋_GB2312"/>
          <w:sz w:val="28"/>
          <w:szCs w:val="28"/>
        </w:rPr>
        <w:t>601.16</w:t>
      </w:r>
      <w:r>
        <w:rPr>
          <w:rFonts w:hint="eastAsia" w:ascii="仿宋_GB2312" w:eastAsia="仿宋_GB2312"/>
          <w:sz w:val="28"/>
          <w:szCs w:val="28"/>
        </w:rPr>
        <w:t>万元，占收入合计的</w:t>
      </w:r>
      <w:r>
        <w:rPr>
          <w:rFonts w:hint="eastAsia" w:ascii="仿宋_GB2312" w:eastAsia="仿宋_GB2312"/>
          <w:sz w:val="28"/>
          <w:szCs w:val="28"/>
          <w:lang w:eastAsia="zh-CN"/>
        </w:rPr>
        <w:t>100</w:t>
      </w:r>
      <w:r>
        <w:rPr>
          <w:rFonts w:hint="eastAsia" w:ascii="仿宋_GB2312" w:eastAsia="仿宋_GB2312"/>
          <w:sz w:val="28"/>
          <w:szCs w:val="28"/>
        </w:rPr>
        <w:t>%；政府性基金预算财政拨款收入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14:paraId="7E3F319A">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2.上级补助收入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14:paraId="61A8E57A">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3.事业收入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14:paraId="6A04BDE4">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14:paraId="11B45A1E">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14:paraId="0447C3FC">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14:paraId="6751040B">
      <w:pPr>
        <w:pStyle w:val="2"/>
        <w:jc w:val="center"/>
        <w:rPr>
          <w:rFonts w:hint="eastAsia"/>
        </w:rPr>
      </w:pPr>
      <w:r>
        <w:rPr>
          <w:rFonts w:hint="eastAsia" w:ascii="仿宋_GB2312" w:eastAsia="仿宋_GB2312"/>
          <w:color w:val="000000"/>
          <w:sz w:val="32"/>
        </w:rPr>
        <w:t>图1：收入决算</w:t>
      </w:r>
    </w:p>
    <w:p w14:paraId="4A5A5264">
      <w:pPr>
        <w:pStyle w:val="3"/>
        <w:ind w:firstLine="420"/>
        <w:jc w:val="center"/>
      </w:pPr>
      <w:r>
        <w:drawing>
          <wp:inline distT="0" distB="0" distL="0" distR="0">
            <wp:extent cx="4036695" cy="2328545"/>
            <wp:effectExtent l="0" t="0" r="20955" b="14605"/>
            <wp:docPr id="3" name="图表 3"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5E1A3B5">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14:paraId="0872677F">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年度本年支出合计</w:t>
      </w:r>
      <w:r>
        <w:rPr>
          <w:rFonts w:ascii="仿宋_GB2312" w:eastAsia="仿宋_GB2312"/>
          <w:sz w:val="28"/>
          <w:szCs w:val="28"/>
        </w:rPr>
        <w:t>601.16</w:t>
      </w:r>
      <w:r>
        <w:rPr>
          <w:rFonts w:hint="eastAsia" w:ascii="仿宋_GB2312" w:eastAsia="仿宋_GB2312"/>
          <w:sz w:val="28"/>
          <w:szCs w:val="28"/>
        </w:rPr>
        <w:t>万元，其中：基本支出</w:t>
      </w:r>
      <w:r>
        <w:rPr>
          <w:rFonts w:ascii="仿宋_GB2312" w:eastAsia="仿宋_GB2312"/>
          <w:sz w:val="28"/>
          <w:szCs w:val="28"/>
        </w:rPr>
        <w:t>382.59</w:t>
      </w:r>
      <w:r>
        <w:rPr>
          <w:rFonts w:hint="eastAsia" w:ascii="仿宋_GB2312" w:eastAsia="仿宋_GB2312"/>
          <w:sz w:val="28"/>
          <w:szCs w:val="28"/>
        </w:rPr>
        <w:t>万元，占支出合计的</w:t>
      </w:r>
      <w:r>
        <w:rPr>
          <w:rFonts w:hint="eastAsia" w:ascii="仿宋_GB2312" w:eastAsia="仿宋_GB2312"/>
          <w:sz w:val="28"/>
          <w:szCs w:val="28"/>
          <w:lang w:eastAsia="zh-CN"/>
        </w:rPr>
        <w:t>63.64</w:t>
      </w:r>
      <w:r>
        <w:rPr>
          <w:rFonts w:hint="eastAsia" w:ascii="仿宋_GB2312" w:eastAsia="仿宋_GB2312"/>
          <w:sz w:val="28"/>
          <w:szCs w:val="28"/>
        </w:rPr>
        <w:t>%；项目支出</w:t>
      </w:r>
      <w:r>
        <w:rPr>
          <w:rFonts w:ascii="仿宋_GB2312" w:eastAsia="仿宋_GB2312"/>
          <w:sz w:val="28"/>
          <w:szCs w:val="28"/>
        </w:rPr>
        <w:t>218.57</w:t>
      </w:r>
      <w:r>
        <w:rPr>
          <w:rFonts w:hint="eastAsia" w:ascii="仿宋_GB2312" w:eastAsia="仿宋_GB2312"/>
          <w:sz w:val="28"/>
          <w:szCs w:val="28"/>
        </w:rPr>
        <w:t>万元，占支出合计的</w:t>
      </w:r>
      <w:r>
        <w:rPr>
          <w:rFonts w:hint="eastAsia" w:ascii="仿宋_GB2312" w:eastAsia="仿宋_GB2312"/>
          <w:sz w:val="28"/>
          <w:szCs w:val="28"/>
          <w:lang w:eastAsia="zh-CN"/>
        </w:rPr>
        <w:t>36.36</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w:t>
      </w:r>
    </w:p>
    <w:p w14:paraId="5DA42602">
      <w:pPr>
        <w:pStyle w:val="2"/>
        <w:ind w:firstLine="642"/>
        <w:jc w:val="center"/>
        <w:rPr>
          <w:rFonts w:ascii="仿宋_GB2312" w:eastAsia="仿宋_GB2312"/>
          <w:color w:val="000000"/>
          <w:sz w:val="32"/>
        </w:rPr>
      </w:pPr>
      <w:r>
        <w:rPr>
          <w:rFonts w:hint="eastAsia" w:ascii="仿宋_GB2312" w:eastAsia="仿宋_GB2312"/>
          <w:color w:val="000000"/>
          <w:sz w:val="32"/>
        </w:rPr>
        <w:t>图2：基本支出和项目支出情况</w:t>
      </w:r>
    </w:p>
    <w:p w14:paraId="42EEBCC8">
      <w:pPr>
        <w:jc w:val="center"/>
        <w:rPr>
          <w:rFonts w:ascii="黑体" w:eastAsia="黑体"/>
          <w:b/>
          <w:sz w:val="28"/>
          <w:szCs w:val="28"/>
        </w:rPr>
      </w:pPr>
      <w:r>
        <w:drawing>
          <wp:inline distT="0" distB="0" distL="114300" distR="114300">
            <wp:extent cx="4572000" cy="2743200"/>
            <wp:effectExtent l="4445" t="4445" r="14605" b="14605"/>
            <wp:docPr id="1" name="图表 3" title="{{pieChart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3602683">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14:paraId="63F7A761">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601.16</w:t>
      </w:r>
      <w:r>
        <w:rPr>
          <w:rFonts w:hint="eastAsia" w:ascii="仿宋_GB2312" w:eastAsia="仿宋_GB2312"/>
          <w:sz w:val="28"/>
          <w:szCs w:val="28"/>
        </w:rPr>
        <w:t>万元。</w:t>
      </w:r>
    </w:p>
    <w:p w14:paraId="4DB3E994">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四、一般公共预算财政拨款支出决算情况说明</w:t>
      </w:r>
    </w:p>
    <w:p w14:paraId="69F8ED4B">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14:paraId="2F696F04">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年度一般公共预算财政拨款支出</w:t>
      </w:r>
      <w:r>
        <w:rPr>
          <w:rFonts w:ascii="仿宋_GB2312" w:eastAsia="仿宋_GB2312"/>
          <w:sz w:val="28"/>
          <w:szCs w:val="28"/>
        </w:rPr>
        <w:t>601.16</w:t>
      </w:r>
      <w:r>
        <w:rPr>
          <w:rFonts w:hint="eastAsia" w:ascii="仿宋_GB2312" w:eastAsia="仿宋_GB2312"/>
          <w:sz w:val="28"/>
          <w:szCs w:val="28"/>
        </w:rPr>
        <w:t>万元，主要用于以下方面（按大类）：</w:t>
      </w:r>
      <w:r>
        <w:rPr>
          <w:rFonts w:hint="eastAsia" w:ascii="仿宋_GB2312" w:eastAsia="仿宋_GB2312"/>
          <w:sz w:val="28"/>
          <w:szCs w:val="28"/>
          <w:lang w:eastAsia="zh-CN"/>
        </w:rPr>
        <w:t>科学技术</w:t>
      </w:r>
      <w:r>
        <w:rPr>
          <w:rFonts w:hint="eastAsia" w:ascii="仿宋_GB2312" w:eastAsia="仿宋_GB2312"/>
          <w:sz w:val="28"/>
          <w:szCs w:val="28"/>
        </w:rPr>
        <w:t>支出</w:t>
      </w:r>
      <w:r>
        <w:rPr>
          <w:rFonts w:hint="eastAsia" w:ascii="仿宋_GB2312" w:eastAsia="仿宋_GB2312"/>
          <w:sz w:val="28"/>
          <w:szCs w:val="28"/>
          <w:lang w:val="en-US" w:eastAsia="zh-CN"/>
        </w:rPr>
        <w:t>462.29</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76.9</w:t>
      </w:r>
      <w:r>
        <w:rPr>
          <w:rFonts w:hint="eastAsia" w:ascii="仿宋_GB2312" w:eastAsia="仿宋_GB2312"/>
          <w:sz w:val="28"/>
          <w:szCs w:val="28"/>
        </w:rPr>
        <w:t>%；</w:t>
      </w:r>
      <w:r>
        <w:rPr>
          <w:rFonts w:hint="eastAsia" w:ascii="仿宋_GB2312" w:eastAsia="仿宋_GB2312"/>
          <w:sz w:val="28"/>
          <w:szCs w:val="28"/>
          <w:lang w:eastAsia="zh-CN"/>
        </w:rPr>
        <w:t>社会保障就业</w:t>
      </w:r>
      <w:r>
        <w:rPr>
          <w:rFonts w:hint="eastAsia" w:ascii="仿宋_GB2312" w:eastAsia="仿宋_GB2312"/>
          <w:sz w:val="28"/>
          <w:szCs w:val="28"/>
        </w:rPr>
        <w:t>支出</w:t>
      </w:r>
      <w:r>
        <w:rPr>
          <w:rFonts w:hint="eastAsia" w:ascii="仿宋_GB2312" w:eastAsia="仿宋_GB2312"/>
          <w:sz w:val="28"/>
          <w:szCs w:val="28"/>
          <w:lang w:val="en-US" w:eastAsia="zh-CN"/>
        </w:rPr>
        <w:t>57.72</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9.6</w:t>
      </w:r>
      <w:r>
        <w:rPr>
          <w:rFonts w:hint="eastAsia" w:ascii="仿宋_GB2312" w:eastAsia="仿宋_GB2312"/>
          <w:sz w:val="28"/>
          <w:szCs w:val="28"/>
        </w:rPr>
        <w:t>%；</w:t>
      </w:r>
      <w:r>
        <w:rPr>
          <w:rFonts w:hint="eastAsia" w:ascii="仿宋_GB2312" w:eastAsia="仿宋_GB2312"/>
          <w:sz w:val="28"/>
          <w:szCs w:val="28"/>
          <w:lang w:eastAsia="zh-CN"/>
        </w:rPr>
        <w:t>住房保障</w:t>
      </w:r>
      <w:r>
        <w:rPr>
          <w:rFonts w:hint="eastAsia" w:ascii="仿宋_GB2312" w:eastAsia="仿宋_GB2312"/>
          <w:sz w:val="28"/>
          <w:szCs w:val="28"/>
        </w:rPr>
        <w:t>支出</w:t>
      </w:r>
      <w:r>
        <w:rPr>
          <w:rFonts w:hint="eastAsia" w:ascii="仿宋_GB2312" w:eastAsia="仿宋_GB2312"/>
          <w:sz w:val="28"/>
          <w:szCs w:val="28"/>
          <w:lang w:val="en-US" w:eastAsia="zh-CN"/>
        </w:rPr>
        <w:t>56.09</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9.33</w:t>
      </w:r>
      <w:r>
        <w:rPr>
          <w:rFonts w:hint="eastAsia" w:ascii="仿宋_GB2312" w:eastAsia="仿宋_GB2312"/>
          <w:sz w:val="28"/>
          <w:szCs w:val="28"/>
        </w:rPr>
        <w:t>%；</w:t>
      </w:r>
      <w:r>
        <w:rPr>
          <w:rFonts w:hint="eastAsia" w:ascii="仿宋_GB2312" w:eastAsia="仿宋_GB2312"/>
          <w:sz w:val="28"/>
          <w:szCs w:val="28"/>
          <w:lang w:eastAsia="zh-CN"/>
        </w:rPr>
        <w:t>卫生健康</w:t>
      </w:r>
      <w:r>
        <w:rPr>
          <w:rFonts w:hint="eastAsia" w:ascii="仿宋_GB2312" w:eastAsia="仿宋_GB2312"/>
          <w:sz w:val="28"/>
          <w:szCs w:val="28"/>
        </w:rPr>
        <w:t>支出</w:t>
      </w:r>
      <w:r>
        <w:rPr>
          <w:rFonts w:hint="eastAsia" w:ascii="仿宋_GB2312" w:eastAsia="仿宋_GB2312"/>
          <w:sz w:val="28"/>
          <w:szCs w:val="28"/>
          <w:lang w:val="en-US" w:eastAsia="zh-CN"/>
        </w:rPr>
        <w:t>25.06</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4.17</w:t>
      </w:r>
      <w:r>
        <w:rPr>
          <w:rFonts w:hint="eastAsia" w:ascii="仿宋_GB2312" w:eastAsia="仿宋_GB2312"/>
          <w:sz w:val="28"/>
          <w:szCs w:val="28"/>
        </w:rPr>
        <w:t>%。</w:t>
      </w:r>
    </w:p>
    <w:p w14:paraId="71178466">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14:paraId="202940CE">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eastAsia="zh-CN"/>
        </w:rPr>
        <w:t>科学技术</w:t>
      </w:r>
      <w:r>
        <w:rPr>
          <w:rFonts w:hint="eastAsia" w:ascii="仿宋_GB2312" w:eastAsia="仿宋_GB2312"/>
          <w:sz w:val="28"/>
          <w:szCs w:val="28"/>
        </w:rPr>
        <w:t>支出”（类）202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462.29</w:t>
      </w:r>
      <w:r>
        <w:rPr>
          <w:rFonts w:hint="eastAsia" w:ascii="仿宋_GB2312" w:eastAsia="仿宋_GB2312"/>
          <w:sz w:val="28"/>
          <w:szCs w:val="28"/>
        </w:rPr>
        <w:t>万元。其中：</w:t>
      </w:r>
    </w:p>
    <w:p w14:paraId="3E4A4CE9">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科学技术普及</w:t>
      </w:r>
      <w:r>
        <w:rPr>
          <w:rFonts w:hint="eastAsia" w:ascii="仿宋_GB2312" w:eastAsia="仿宋_GB2312"/>
          <w:sz w:val="28"/>
          <w:szCs w:val="28"/>
        </w:rPr>
        <w:t>”（款，下同）202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462.29</w:t>
      </w:r>
      <w:r>
        <w:rPr>
          <w:rFonts w:hint="eastAsia" w:ascii="仿宋_GB2312" w:eastAsia="仿宋_GB2312"/>
          <w:sz w:val="28"/>
          <w:szCs w:val="28"/>
        </w:rPr>
        <w:t>万元。</w:t>
      </w:r>
    </w:p>
    <w:p w14:paraId="7B27E776">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eastAsia="zh-CN"/>
        </w:rPr>
        <w:t>社会保障就业</w:t>
      </w:r>
      <w:r>
        <w:rPr>
          <w:rFonts w:hint="eastAsia" w:ascii="仿宋_GB2312" w:eastAsia="仿宋_GB2312"/>
          <w:sz w:val="28"/>
          <w:szCs w:val="28"/>
        </w:rPr>
        <w:t>支出”(类)202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57.72</w:t>
      </w:r>
      <w:r>
        <w:rPr>
          <w:rFonts w:hint="eastAsia" w:ascii="仿宋_GB2312" w:eastAsia="仿宋_GB2312"/>
          <w:sz w:val="28"/>
          <w:szCs w:val="28"/>
        </w:rPr>
        <w:t>万元。其中：</w:t>
      </w:r>
    </w:p>
    <w:p w14:paraId="0876F084">
      <w:pPr>
        <w:spacing w:line="580" w:lineRule="exact"/>
        <w:ind w:firstLine="560" w:firstLineChars="200"/>
        <w:rPr>
          <w:rFonts w:ascii="仿宋_GB2312" w:eastAsia="仿宋_GB2312"/>
          <w:sz w:val="28"/>
          <w:szCs w:val="28"/>
        </w:rPr>
      </w:pPr>
      <w:r>
        <w:rPr>
          <w:rFonts w:hint="eastAsia" w:ascii="仿宋_GB2312" w:eastAsia="仿宋_GB2312"/>
          <w:sz w:val="28"/>
          <w:szCs w:val="28"/>
        </w:rPr>
        <w:t>“行政事业单位养老支出”（款）202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57.72</w:t>
      </w:r>
      <w:r>
        <w:rPr>
          <w:rFonts w:hint="eastAsia" w:ascii="仿宋_GB2312" w:eastAsia="仿宋_GB2312"/>
          <w:sz w:val="28"/>
          <w:szCs w:val="28"/>
        </w:rPr>
        <w:t>万元。</w:t>
      </w:r>
    </w:p>
    <w:p w14:paraId="38628832">
      <w:pPr>
        <w:spacing w:line="580" w:lineRule="exact"/>
        <w:ind w:firstLine="560" w:firstLineChars="200"/>
        <w:rPr>
          <w:rFonts w:ascii="仿宋_GB2312" w:eastAsia="仿宋_GB2312"/>
          <w:sz w:val="28"/>
          <w:szCs w:val="28"/>
        </w:rPr>
      </w:pPr>
      <w:r>
        <w:rPr>
          <w:rFonts w:hint="eastAsia" w:ascii="黑体" w:eastAsia="黑体"/>
          <w:b/>
          <w:sz w:val="28"/>
          <w:szCs w:val="28"/>
        </w:rPr>
        <w:t>五、政府性基金预算财政拨款支出决算情况说明</w:t>
      </w:r>
    </w:p>
    <w:p w14:paraId="0B7349FB">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（一）政府性基金预算财政拨款支出决算总体情况</w:t>
      </w:r>
    </w:p>
    <w:p w14:paraId="0D57C561">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lang w:eastAsia="zh-CN"/>
        </w:rPr>
        <w:t>2024</w:t>
      </w:r>
      <w:r>
        <w:rPr>
          <w:rFonts w:hint="eastAsia" w:ascii="仿宋_GB2312" w:eastAsia="仿宋_GB2312"/>
          <w:sz w:val="28"/>
          <w:szCs w:val="28"/>
        </w:rPr>
        <w:t>年度政府性基金预算财政拨款支出</w:t>
      </w:r>
      <w:r>
        <w:rPr>
          <w:rFonts w:ascii="仿宋_GB2312" w:eastAsia="仿宋_GB2312"/>
          <w:sz w:val="28"/>
          <w:szCs w:val="28"/>
        </w:rPr>
        <w:t>0</w:t>
      </w:r>
      <w:r>
        <w:rPr>
          <w:rFonts w:hint="eastAsia" w:ascii="仿宋_GB2312" w:eastAsia="仿宋_GB2312"/>
          <w:sz w:val="28"/>
          <w:szCs w:val="28"/>
        </w:rPr>
        <w:t>万元。</w:t>
      </w:r>
    </w:p>
    <w:p w14:paraId="10B6F7CE">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（二）政府性基金预算财政拨款支出决算具体情况</w:t>
      </w:r>
    </w:p>
    <w:p w14:paraId="35DCB9F6">
      <w:pPr>
        <w:autoSpaceDE w:val="0"/>
        <w:autoSpaceDN w:val="0"/>
        <w:adjustRightInd w:val="0"/>
        <w:spacing w:line="580" w:lineRule="exact"/>
        <w:ind w:firstLine="700" w:firstLineChars="250"/>
        <w:jc w:val="left"/>
        <w:rPr>
          <w:rFonts w:ascii="仿宋_GB2312" w:eastAsia="仿宋_GB2312"/>
          <w:sz w:val="28"/>
          <w:szCs w:val="28"/>
        </w:rPr>
      </w:pPr>
      <w:r>
        <w:rPr>
          <w:rFonts w:hint="eastAsia" w:ascii="仿宋_GB2312" w:eastAsia="仿宋_GB2312"/>
          <w:sz w:val="28"/>
          <w:szCs w:val="28"/>
        </w:rPr>
        <w:t>1、“城乡社区支出”（类，下同）</w:t>
      </w:r>
      <w:r>
        <w:rPr>
          <w:rFonts w:hint="eastAsia" w:ascii="仿宋_GB2312" w:eastAsia="仿宋_GB2312"/>
          <w:sz w:val="28"/>
          <w:szCs w:val="28"/>
          <w:lang w:eastAsia="zh-CN"/>
        </w:rPr>
        <w:t>2024</w:t>
      </w:r>
      <w:r>
        <w:rPr>
          <w:rFonts w:hint="eastAsia" w:ascii="仿宋_GB2312" w:eastAsia="仿宋_GB2312"/>
          <w:sz w:val="28"/>
          <w:szCs w:val="28"/>
        </w:rPr>
        <w:t>年度决算</w:t>
      </w:r>
      <w:r>
        <w:rPr>
          <w:rFonts w:hint="eastAsia" w:ascii="仿宋_GB2312" w:eastAsia="仿宋_GB2312"/>
          <w:sz w:val="28"/>
          <w:szCs w:val="28"/>
          <w:lang w:val="en-US" w:eastAsia="zh-CN"/>
        </w:rPr>
        <w:t>0</w:t>
      </w:r>
      <w:r>
        <w:rPr>
          <w:rFonts w:hint="eastAsia" w:ascii="仿宋_GB2312" w:eastAsia="仿宋_GB2312"/>
          <w:sz w:val="28"/>
          <w:szCs w:val="28"/>
        </w:rPr>
        <w:t>万元。其中：</w:t>
      </w:r>
    </w:p>
    <w:p w14:paraId="49A6557D">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“城市公用事业附加及对应专项债务收入安排的支出”（款，下同）</w:t>
      </w:r>
      <w:r>
        <w:rPr>
          <w:rFonts w:hint="eastAsia" w:ascii="仿宋_GB2312" w:eastAsia="仿宋_GB2312"/>
          <w:sz w:val="28"/>
          <w:szCs w:val="28"/>
          <w:lang w:eastAsia="zh-CN"/>
        </w:rPr>
        <w:t>2024</w:t>
      </w:r>
      <w:r>
        <w:rPr>
          <w:rFonts w:hint="eastAsia" w:ascii="仿宋_GB2312" w:eastAsia="仿宋_GB2312"/>
          <w:sz w:val="28"/>
          <w:szCs w:val="28"/>
        </w:rPr>
        <w:t>年度决算</w:t>
      </w:r>
      <w:r>
        <w:rPr>
          <w:rFonts w:hint="eastAsia" w:ascii="仿宋_GB2312" w:eastAsia="仿宋_GB2312"/>
          <w:sz w:val="28"/>
          <w:szCs w:val="28"/>
          <w:lang w:val="en-US" w:eastAsia="zh-CN"/>
        </w:rPr>
        <w:t>0</w:t>
      </w:r>
      <w:r>
        <w:rPr>
          <w:rFonts w:hint="eastAsia" w:ascii="仿宋_GB2312" w:eastAsia="仿宋_GB2312"/>
          <w:sz w:val="28"/>
          <w:szCs w:val="28"/>
        </w:rPr>
        <w:t>万元。</w:t>
      </w:r>
    </w:p>
    <w:p w14:paraId="30EB4B9C">
      <w:pPr>
        <w:spacing w:line="580" w:lineRule="exact"/>
        <w:ind w:firstLine="560" w:firstLineChars="200"/>
        <w:rPr>
          <w:rFonts w:ascii="黑体" w:eastAsia="黑体"/>
          <w:b/>
          <w:sz w:val="28"/>
          <w:szCs w:val="28"/>
        </w:rPr>
      </w:pPr>
      <w:r>
        <w:rPr>
          <w:rFonts w:hint="eastAsia" w:ascii="黑体" w:eastAsia="黑体"/>
          <w:b/>
          <w:sz w:val="28"/>
          <w:szCs w:val="28"/>
        </w:rPr>
        <w:t>六、国有资本经营预算财</w:t>
      </w:r>
      <w:r>
        <w:rPr>
          <w:rFonts w:ascii="黑体" w:eastAsia="黑体"/>
          <w:b/>
          <w:sz w:val="28"/>
          <w:szCs w:val="28"/>
        </w:rPr>
        <w:t>政拨款</w:t>
      </w:r>
      <w:r>
        <w:rPr>
          <w:rFonts w:hint="eastAsia" w:ascii="黑体" w:eastAsia="黑体"/>
          <w:b/>
          <w:sz w:val="28"/>
          <w:szCs w:val="28"/>
        </w:rPr>
        <w:t>收支情况</w:t>
      </w:r>
    </w:p>
    <w:p w14:paraId="2FC46B6D">
      <w:pPr>
        <w:ind w:firstLine="537" w:firstLineChars="192"/>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计0</w:t>
      </w:r>
      <w:r>
        <w:rPr>
          <w:rFonts w:hint="eastAsia" w:ascii="仿宋_GB2312" w:eastAsia="仿宋_GB2312"/>
          <w:sz w:val="28"/>
          <w:szCs w:val="28"/>
        </w:rPr>
        <w:t>万元。</w:t>
      </w:r>
    </w:p>
    <w:p w14:paraId="7E9F8C5F">
      <w:pPr>
        <w:spacing w:line="580" w:lineRule="exact"/>
        <w:ind w:firstLine="548" w:firstLineChars="196"/>
        <w:rPr>
          <w:rFonts w:ascii="黑体" w:eastAsia="黑体"/>
          <w:sz w:val="28"/>
          <w:szCs w:val="28"/>
        </w:rPr>
      </w:pPr>
      <w:r>
        <w:rPr>
          <w:rFonts w:hint="eastAsia" w:ascii="黑体" w:eastAsia="黑体"/>
          <w:b/>
          <w:sz w:val="28"/>
          <w:szCs w:val="28"/>
        </w:rPr>
        <w:t>七、财政拨款基本支出决算情况说明</w:t>
      </w:r>
    </w:p>
    <w:p w14:paraId="315447B7">
      <w:pPr>
        <w:tabs>
          <w:tab w:val="center" w:pos="6979"/>
        </w:tabs>
        <w:spacing w:line="580" w:lineRule="exact"/>
        <w:ind w:firstLine="548" w:firstLineChars="196"/>
        <w:rPr>
          <w:rFonts w:hint="eastAsia" w:ascii="黑体" w:eastAsia="黑体"/>
          <w:b/>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年度使用一般公共预算财政拨款安排基本支出</w:t>
      </w:r>
      <w:r>
        <w:rPr>
          <w:rFonts w:ascii="仿宋_GB2312" w:eastAsia="仿宋_GB2312"/>
          <w:sz w:val="28"/>
          <w:szCs w:val="28"/>
        </w:rPr>
        <w:t>382.59</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14:paraId="1D610D42">
      <w:pPr>
        <w:autoSpaceDE w:val="0"/>
        <w:autoSpaceDN w:val="0"/>
        <w:adjustRightInd w:val="0"/>
        <w:spacing w:line="580" w:lineRule="exact"/>
        <w:jc w:val="center"/>
        <w:rPr>
          <w:rFonts w:ascii="宋体" w:hAnsi="宋体" w:cs="宋体"/>
          <w:b/>
          <w:spacing w:val="40"/>
          <w:kern w:val="0"/>
          <w:sz w:val="32"/>
          <w:szCs w:val="32"/>
        </w:rPr>
      </w:pPr>
      <w:r>
        <w:rPr>
          <w:rFonts w:ascii="仿宋_GB2312" w:eastAsia="仿宋_GB2312"/>
          <w:sz w:val="28"/>
          <w:szCs w:val="28"/>
        </w:rPr>
        <w:br w:type="page"/>
      </w:r>
      <w:r>
        <w:rPr>
          <w:rFonts w:hint="eastAsia" w:ascii="宋体" w:hAnsi="宋体" w:cs="宋体"/>
          <w:b/>
          <w:bCs/>
          <w:spacing w:val="40"/>
          <w:kern w:val="0"/>
          <w:sz w:val="32"/>
          <w:szCs w:val="32"/>
        </w:rPr>
        <w:t>第三部分</w:t>
      </w:r>
      <w:r>
        <w:rPr>
          <w:rFonts w:hint="eastAsia" w:ascii="宋体" w:hAnsi="宋体"/>
          <w:b/>
          <w:spacing w:val="40"/>
          <w:sz w:val="32"/>
          <w:szCs w:val="32"/>
          <w:lang w:eastAsia="zh-CN"/>
        </w:rPr>
        <w:t>2024</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14:paraId="71657C21">
      <w:pPr>
        <w:spacing w:line="560" w:lineRule="exact"/>
        <w:ind w:firstLine="560" w:firstLineChars="200"/>
        <w:rPr>
          <w:rFonts w:ascii="黑体" w:eastAsia="黑体"/>
          <w:sz w:val="28"/>
          <w:szCs w:val="28"/>
        </w:rPr>
      </w:pPr>
      <w:r>
        <w:rPr>
          <w:rFonts w:hint="eastAsia" w:ascii="黑体" w:eastAsia="黑体"/>
          <w:sz w:val="28"/>
          <w:szCs w:val="28"/>
        </w:rPr>
        <w:t>一、“三公”经费财政拨款决算情况</w:t>
      </w:r>
    </w:p>
    <w:p w14:paraId="6ED97450">
      <w:pPr>
        <w:spacing w:line="560" w:lineRule="exact"/>
        <w:ind w:firstLine="600"/>
        <w:rPr>
          <w:rFonts w:ascii="仿宋_GB2312" w:eastAsia="仿宋_GB2312"/>
          <w:sz w:val="28"/>
          <w:szCs w:val="28"/>
        </w:rPr>
      </w:pPr>
      <w:r>
        <w:rPr>
          <w:rFonts w:hint="eastAsia" w:ascii="仿宋_GB2312" w:eastAsia="仿宋_GB2312"/>
          <w:sz w:val="28"/>
          <w:szCs w:val="28"/>
        </w:rPr>
        <w:t>“三公”经费包括本单位所属</w:t>
      </w:r>
      <w:r>
        <w:rPr>
          <w:rFonts w:hint="eastAsia" w:ascii="仿宋_GB2312" w:eastAsia="仿宋_GB2312"/>
          <w:sz w:val="28"/>
          <w:szCs w:val="28"/>
          <w:lang w:val="en-US" w:eastAsia="zh-CN"/>
        </w:rPr>
        <w:t>1</w:t>
      </w:r>
      <w:r>
        <w:rPr>
          <w:rFonts w:hint="eastAsia" w:ascii="仿宋_GB2312" w:eastAsia="仿宋_GB2312"/>
          <w:sz w:val="28"/>
          <w:szCs w:val="28"/>
        </w:rPr>
        <w:t>个行政单位。</w:t>
      </w:r>
      <w:r>
        <w:rPr>
          <w:rFonts w:hint="eastAsia" w:ascii="仿宋_GB2312" w:eastAsia="仿宋_GB2312"/>
          <w:sz w:val="28"/>
          <w:szCs w:val="28"/>
          <w:lang w:eastAsia="zh-CN"/>
        </w:rPr>
        <w:t>2024</w:t>
      </w:r>
      <w:r>
        <w:rPr>
          <w:rFonts w:hint="eastAsia" w:ascii="仿宋_GB2312" w:eastAsia="仿宋_GB2312"/>
          <w:sz w:val="28"/>
          <w:szCs w:val="28"/>
        </w:rPr>
        <w:t>年度“三公”经费财政拨款决算数</w:t>
      </w:r>
      <w:r>
        <w:rPr>
          <w:rFonts w:ascii="仿宋_GB2312" w:eastAsia="仿宋_GB2312"/>
          <w:sz w:val="28"/>
          <w:szCs w:val="28"/>
        </w:rPr>
        <w:t>0</w:t>
      </w:r>
      <w:r>
        <w:rPr>
          <w:rFonts w:hint="eastAsia" w:ascii="仿宋_GB2312" w:eastAsia="仿宋_GB2312"/>
          <w:sz w:val="28"/>
          <w:szCs w:val="28"/>
        </w:rPr>
        <w:t>万元。其中：</w:t>
      </w:r>
    </w:p>
    <w:p w14:paraId="637E400F">
      <w:pPr>
        <w:spacing w:line="560" w:lineRule="exact"/>
        <w:ind w:firstLine="600"/>
        <w:rPr>
          <w:rFonts w:hint="eastAsia" w:ascii="仿宋_GB2312" w:eastAsia="仿宋_GB2312"/>
          <w:sz w:val="28"/>
          <w:szCs w:val="28"/>
        </w:rPr>
      </w:pPr>
      <w:r>
        <w:rPr>
          <w:rFonts w:hint="eastAsia" w:ascii="仿宋_GB2312" w:eastAsia="仿宋_GB2312"/>
          <w:sz w:val="28"/>
          <w:szCs w:val="28"/>
        </w:rPr>
        <w:t>1.因公出国（境）费用。202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年度组织因公出国（境）团组</w:t>
      </w:r>
      <w:r>
        <w:rPr>
          <w:rFonts w:hint="eastAsia" w:ascii="仿宋_GB2312" w:eastAsia="仿宋_GB2312"/>
          <w:sz w:val="28"/>
          <w:szCs w:val="28"/>
          <w:lang w:eastAsia="zh-CN"/>
        </w:rPr>
        <w:t>0</w:t>
      </w:r>
      <w:r>
        <w:rPr>
          <w:rFonts w:hint="eastAsia" w:ascii="仿宋_GB2312" w:eastAsia="仿宋_GB2312"/>
          <w:sz w:val="28"/>
          <w:szCs w:val="28"/>
        </w:rPr>
        <w:t>个、</w:t>
      </w:r>
      <w:r>
        <w:rPr>
          <w:rFonts w:hint="eastAsia" w:ascii="仿宋_GB2312" w:eastAsia="仿宋_GB2312"/>
          <w:sz w:val="28"/>
          <w:szCs w:val="28"/>
          <w:lang w:eastAsia="zh-CN"/>
        </w:rPr>
        <w:t>0</w:t>
      </w:r>
      <w:r>
        <w:rPr>
          <w:rFonts w:hint="eastAsia" w:ascii="仿宋_GB2312" w:eastAsia="仿宋_GB2312"/>
          <w:sz w:val="28"/>
          <w:szCs w:val="28"/>
        </w:rPr>
        <w:t>人次。</w:t>
      </w:r>
    </w:p>
    <w:p w14:paraId="232AE183">
      <w:pPr>
        <w:spacing w:line="560" w:lineRule="exact"/>
        <w:ind w:firstLine="600"/>
        <w:rPr>
          <w:rFonts w:hint="eastAsia" w:ascii="仿宋_GB2312" w:eastAsia="仿宋_GB2312"/>
          <w:sz w:val="28"/>
          <w:szCs w:val="28"/>
        </w:rPr>
      </w:pPr>
      <w:r>
        <w:rPr>
          <w:rFonts w:hint="eastAsia" w:ascii="仿宋_GB2312" w:eastAsia="仿宋_GB2312"/>
          <w:sz w:val="28"/>
          <w:szCs w:val="28"/>
        </w:rPr>
        <w:t>2.公务接待费。202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万元。公务接待</w:t>
      </w:r>
      <w:r>
        <w:rPr>
          <w:rFonts w:hint="eastAsia" w:ascii="仿宋_GB2312" w:eastAsia="仿宋_GB2312"/>
          <w:sz w:val="28"/>
          <w:szCs w:val="28"/>
          <w:lang w:eastAsia="zh-CN"/>
        </w:rPr>
        <w:t>0</w:t>
      </w:r>
      <w:r>
        <w:rPr>
          <w:rFonts w:hint="eastAsia" w:ascii="仿宋_GB2312" w:eastAsia="仿宋_GB2312"/>
          <w:sz w:val="28"/>
          <w:szCs w:val="28"/>
        </w:rPr>
        <w:t>批次，公务接待</w:t>
      </w:r>
      <w:r>
        <w:rPr>
          <w:rFonts w:hint="eastAsia" w:ascii="仿宋_GB2312" w:eastAsia="仿宋_GB2312"/>
          <w:sz w:val="28"/>
          <w:szCs w:val="28"/>
          <w:lang w:eastAsia="zh-CN"/>
        </w:rPr>
        <w:t>0</w:t>
      </w:r>
      <w:r>
        <w:rPr>
          <w:rFonts w:hint="eastAsia" w:ascii="仿宋_GB2312" w:eastAsia="仿宋_GB2312"/>
          <w:sz w:val="28"/>
          <w:szCs w:val="28"/>
        </w:rPr>
        <w:t>人次。</w:t>
      </w:r>
    </w:p>
    <w:p w14:paraId="50380DDE">
      <w:pPr>
        <w:spacing w:line="5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3.公务用车购置及运行维护费。202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w:t>
      </w:r>
      <w:r>
        <w:rPr>
          <w:rFonts w:hint="eastAsia" w:ascii="仿宋_GB2312" w:eastAsia="仿宋_GB2312"/>
          <w:sz w:val="28"/>
          <w:szCs w:val="28"/>
          <w:lang w:eastAsia="zh-CN"/>
        </w:rPr>
        <w:t>。</w:t>
      </w:r>
    </w:p>
    <w:p w14:paraId="08B11FA4">
      <w:pPr>
        <w:spacing w:line="560" w:lineRule="exact"/>
        <w:ind w:firstLine="560" w:firstLineChars="200"/>
        <w:rPr>
          <w:rFonts w:ascii="仿宋_GB2312" w:eastAsia="仿宋_GB2312"/>
          <w:sz w:val="28"/>
          <w:szCs w:val="28"/>
        </w:rPr>
      </w:pPr>
      <w:r>
        <w:rPr>
          <w:rFonts w:hint="eastAsia" w:ascii="仿宋_GB2312" w:eastAsia="仿宋_GB2312"/>
          <w:sz w:val="28"/>
          <w:szCs w:val="28"/>
        </w:rPr>
        <w:t>其中，公务用车购置费202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hint="eastAsia" w:ascii="仿宋_GB2312" w:eastAsia="仿宋_GB2312"/>
          <w:sz w:val="28"/>
          <w:szCs w:val="28"/>
          <w:lang w:val="en-US" w:eastAsia="zh-CN"/>
        </w:rPr>
        <w:t>0</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年度购置（更新）</w:t>
      </w:r>
      <w:r>
        <w:rPr>
          <w:rFonts w:hint="eastAsia" w:ascii="仿宋_GB2312" w:eastAsia="仿宋_GB2312"/>
          <w:sz w:val="28"/>
          <w:szCs w:val="28"/>
          <w:lang w:eastAsia="zh-CN"/>
        </w:rPr>
        <w:t>0</w:t>
      </w:r>
      <w:r>
        <w:rPr>
          <w:rFonts w:hint="eastAsia" w:ascii="仿宋_GB2312" w:eastAsia="仿宋_GB2312"/>
          <w:sz w:val="28"/>
          <w:szCs w:val="28"/>
        </w:rPr>
        <w:t>辆。公务用车运行维护费202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hint="eastAsia" w:ascii="仿宋_GB2312" w:eastAsia="仿宋_GB2312"/>
          <w:sz w:val="28"/>
          <w:szCs w:val="28"/>
          <w:lang w:val="en-US" w:eastAsia="zh-CN"/>
        </w:rPr>
        <w:t>0</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年度公务用车保有量</w:t>
      </w:r>
      <w:r>
        <w:rPr>
          <w:rFonts w:ascii="仿宋_GB2312" w:eastAsia="仿宋_GB2312"/>
          <w:sz w:val="28"/>
          <w:szCs w:val="28"/>
        </w:rPr>
        <w:t>0</w:t>
      </w:r>
      <w:r>
        <w:rPr>
          <w:rFonts w:hint="eastAsia" w:ascii="仿宋_GB2312" w:eastAsia="仿宋_GB2312"/>
          <w:sz w:val="28"/>
          <w:szCs w:val="28"/>
        </w:rPr>
        <w:t>辆。</w:t>
      </w:r>
    </w:p>
    <w:p w14:paraId="6C91D0D4">
      <w:pPr>
        <w:tabs>
          <w:tab w:val="center" w:pos="6979"/>
        </w:tabs>
        <w:ind w:firstLine="554" w:firstLineChars="198"/>
        <w:rPr>
          <w:rFonts w:ascii="黑体" w:eastAsia="黑体"/>
          <w:sz w:val="28"/>
          <w:szCs w:val="28"/>
        </w:rPr>
      </w:pPr>
      <w:r>
        <w:rPr>
          <w:rFonts w:hint="eastAsia" w:ascii="黑体" w:eastAsia="黑体"/>
          <w:sz w:val="28"/>
          <w:szCs w:val="28"/>
        </w:rPr>
        <w:t>二、机关运行经费支出情况</w:t>
      </w:r>
    </w:p>
    <w:p w14:paraId="0C5B29CE">
      <w:pPr>
        <w:ind w:firstLine="537" w:firstLineChars="192"/>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w:t>
      </w:r>
      <w:r>
        <w:rPr>
          <w:rFonts w:hint="eastAsia" w:ascii="仿宋_GB2312" w:eastAsia="仿宋_GB2312"/>
          <w:sz w:val="28"/>
          <w:szCs w:val="28"/>
          <w:lang w:eastAsia="zh-CN"/>
        </w:rPr>
        <w:t>机关运行经费</w:t>
      </w:r>
      <w:r>
        <w:rPr>
          <w:rFonts w:hint="eastAsia" w:ascii="仿宋_GB2312" w:eastAsia="仿宋_GB2312"/>
          <w:sz w:val="28"/>
          <w:szCs w:val="28"/>
        </w:rPr>
        <w:t>支出合计</w:t>
      </w:r>
      <w:r>
        <w:rPr>
          <w:rFonts w:hint="eastAsia" w:ascii="仿宋_GB2312" w:eastAsia="仿宋_GB2312"/>
          <w:sz w:val="28"/>
          <w:szCs w:val="28"/>
          <w:lang w:val="en-US" w:eastAsia="zh-CN"/>
        </w:rPr>
        <w:t>21.3</w:t>
      </w:r>
      <w:r>
        <w:rPr>
          <w:rFonts w:hint="eastAsia" w:ascii="仿宋_GB2312" w:eastAsia="仿宋_GB2312"/>
          <w:sz w:val="28"/>
          <w:szCs w:val="28"/>
        </w:rPr>
        <w:t>万元。</w:t>
      </w:r>
    </w:p>
    <w:p w14:paraId="7A1C6B97">
      <w:pPr>
        <w:ind w:left="540"/>
        <w:rPr>
          <w:rFonts w:ascii="黑体" w:eastAsia="黑体"/>
          <w:sz w:val="28"/>
          <w:szCs w:val="28"/>
        </w:rPr>
      </w:pPr>
      <w:r>
        <w:rPr>
          <w:rFonts w:hint="eastAsia" w:ascii="黑体" w:eastAsia="黑体"/>
          <w:sz w:val="28"/>
          <w:szCs w:val="28"/>
        </w:rPr>
        <w:t>三、政府采购支出情况</w:t>
      </w:r>
    </w:p>
    <w:p w14:paraId="5FA6DC3B">
      <w:pPr>
        <w:ind w:firstLine="560" w:firstLineChars="200"/>
        <w:jc w:val="both"/>
        <w:rPr>
          <w:rFonts w:hint="eastAsia" w:ascii="仿宋_GB2312" w:eastAsia="仿宋_GB2312"/>
          <w:sz w:val="28"/>
          <w:szCs w:val="28"/>
          <w:highlight w:val="yellow"/>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年度政府采购支出总额</w:t>
      </w:r>
      <w:r>
        <w:rPr>
          <w:rFonts w:ascii="仿宋_GB2312" w:eastAsia="仿宋_GB2312"/>
          <w:sz w:val="28"/>
          <w:szCs w:val="28"/>
        </w:rPr>
        <w:t>9.8</w:t>
      </w:r>
      <w:r>
        <w:rPr>
          <w:rFonts w:hint="eastAsia" w:ascii="仿宋_GB2312" w:eastAsia="仿宋_GB2312"/>
          <w:sz w:val="28"/>
          <w:szCs w:val="28"/>
        </w:rPr>
        <w:t>万元，其中：政府采购货物支出</w:t>
      </w:r>
      <w:r>
        <w:rPr>
          <w:rFonts w:ascii="仿宋_GB2312" w:eastAsia="仿宋_GB2312"/>
          <w:sz w:val="28"/>
          <w:szCs w:val="28"/>
        </w:rPr>
        <w:t>9.2</w:t>
      </w:r>
      <w:r>
        <w:rPr>
          <w:rFonts w:hint="eastAsia" w:ascii="仿宋_GB2312" w:eastAsia="仿宋_GB2312"/>
          <w:sz w:val="28"/>
          <w:szCs w:val="28"/>
        </w:rPr>
        <w:t>万元，政府采购工程支出</w:t>
      </w:r>
      <w:r>
        <w:rPr>
          <w:rFonts w:ascii="仿宋_GB2312" w:eastAsia="仿宋_GB2312"/>
          <w:sz w:val="28"/>
          <w:szCs w:val="28"/>
        </w:rPr>
        <w:t>0</w:t>
      </w:r>
      <w:r>
        <w:rPr>
          <w:rFonts w:hint="eastAsia" w:ascii="仿宋_GB2312" w:eastAsia="仿宋_GB2312"/>
          <w:sz w:val="28"/>
          <w:szCs w:val="28"/>
        </w:rPr>
        <w:t>万元，政府采购服务支出</w:t>
      </w:r>
      <w:r>
        <w:rPr>
          <w:rFonts w:ascii="仿宋_GB2312" w:eastAsia="仿宋_GB2312"/>
          <w:sz w:val="28"/>
          <w:szCs w:val="28"/>
        </w:rPr>
        <w:t>0.61</w:t>
      </w:r>
      <w:r>
        <w:rPr>
          <w:rFonts w:hint="eastAsia" w:ascii="仿宋_GB2312" w:eastAsia="仿宋_GB2312"/>
          <w:sz w:val="28"/>
          <w:szCs w:val="28"/>
        </w:rPr>
        <w:t>万元。授予中小企业合同金额</w:t>
      </w:r>
      <w:r>
        <w:rPr>
          <w:rFonts w:ascii="仿宋_GB2312" w:eastAsia="仿宋_GB2312"/>
          <w:sz w:val="28"/>
          <w:szCs w:val="28"/>
        </w:rPr>
        <w:t>9.8</w:t>
      </w:r>
      <w:r>
        <w:rPr>
          <w:rFonts w:hint="eastAsia" w:ascii="仿宋_GB2312" w:eastAsia="仿宋_GB2312"/>
          <w:sz w:val="28"/>
          <w:szCs w:val="28"/>
        </w:rPr>
        <w:t>万元，占政府采购支出总额的</w:t>
      </w:r>
      <w:r>
        <w:rPr>
          <w:rFonts w:hint="eastAsia" w:ascii="仿宋_GB2312" w:eastAsia="仿宋_GB2312"/>
          <w:sz w:val="28"/>
          <w:szCs w:val="28"/>
          <w:lang w:eastAsia="zh-CN"/>
        </w:rPr>
        <w:t>100</w:t>
      </w:r>
      <w:r>
        <w:rPr>
          <w:rFonts w:hint="eastAsia" w:ascii="仿宋_GB2312" w:eastAsia="仿宋_GB2312"/>
          <w:sz w:val="28"/>
          <w:szCs w:val="28"/>
        </w:rPr>
        <w:t>%，</w:t>
      </w:r>
      <w:r>
        <w:rPr>
          <w:rFonts w:hint="eastAsia" w:ascii="仿宋_GB2312" w:eastAsia="仿宋_GB2312"/>
          <w:sz w:val="28"/>
          <w:szCs w:val="28"/>
          <w:lang w:eastAsia="zh-CN"/>
        </w:rPr>
        <w:t>其中：授予小微企业合同金额</w:t>
      </w:r>
      <w:r>
        <w:rPr>
          <w:rFonts w:hint="eastAsia" w:ascii="仿宋_GB2312" w:eastAsia="仿宋_GB2312"/>
          <w:sz w:val="28"/>
          <w:szCs w:val="28"/>
        </w:rPr>
        <w:t>9.8万元，占政府采购支出总额的</w:t>
      </w:r>
      <w:r>
        <w:rPr>
          <w:rFonts w:ascii="仿宋_GB2312" w:eastAsia="仿宋_GB2312"/>
          <w:sz w:val="28"/>
          <w:szCs w:val="28"/>
        </w:rPr>
        <w:t>100</w:t>
      </w:r>
      <w:r>
        <w:rPr>
          <w:rFonts w:hint="eastAsia" w:ascii="仿宋_GB2312" w:eastAsia="仿宋_GB2312"/>
          <w:sz w:val="28"/>
          <w:szCs w:val="28"/>
        </w:rPr>
        <w:t>%。</w:t>
      </w:r>
    </w:p>
    <w:p w14:paraId="1909539E">
      <w:pPr>
        <w:ind w:firstLine="560" w:firstLineChars="200"/>
        <w:rPr>
          <w:rFonts w:ascii="黑体" w:eastAsia="黑体"/>
          <w:sz w:val="28"/>
          <w:szCs w:val="28"/>
          <w:highlight w:val="yellow"/>
        </w:rPr>
      </w:pPr>
      <w:r>
        <w:rPr>
          <w:rFonts w:hint="eastAsia" w:ascii="黑体" w:eastAsia="黑体"/>
          <w:sz w:val="28"/>
          <w:szCs w:val="28"/>
        </w:rPr>
        <w:t>四、国有资产占用情况</w:t>
      </w:r>
    </w:p>
    <w:p w14:paraId="5121C9E0">
      <w:pPr>
        <w:ind w:firstLine="560" w:firstLineChars="200"/>
        <w:rPr>
          <w:rFonts w:ascii="仿宋_GB2312" w:eastAsia="仿宋_GB2312"/>
          <w:sz w:val="32"/>
          <w:szCs w:val="32"/>
        </w:rPr>
      </w:pPr>
      <w:r>
        <w:rPr>
          <w:rFonts w:hint="eastAsia" w:ascii="仿宋_GB2312" w:eastAsia="仿宋_GB2312"/>
          <w:sz w:val="28"/>
          <w:szCs w:val="28"/>
          <w:lang w:eastAsia="zh-CN"/>
        </w:rPr>
        <w:t>2024</w:t>
      </w:r>
      <w:r>
        <w:rPr>
          <w:rFonts w:hint="eastAsia" w:ascii="仿宋_GB2312" w:eastAsia="仿宋_GB2312"/>
          <w:sz w:val="28"/>
          <w:szCs w:val="28"/>
        </w:rPr>
        <w:t>年度新购置车辆</w:t>
      </w:r>
      <w:r>
        <w:rPr>
          <w:rFonts w:hint="eastAsia" w:ascii="仿宋_GB2312" w:eastAsia="仿宋_GB2312"/>
          <w:sz w:val="28"/>
          <w:szCs w:val="28"/>
          <w:lang w:val="en-US" w:eastAsia="zh-CN"/>
        </w:rPr>
        <w:t>0</w:t>
      </w:r>
      <w:r>
        <w:rPr>
          <w:rFonts w:hint="eastAsia" w:ascii="仿宋_GB2312" w:eastAsia="仿宋_GB2312"/>
          <w:sz w:val="28"/>
          <w:szCs w:val="28"/>
        </w:rPr>
        <w:t>台，共计</w:t>
      </w:r>
      <w:r>
        <w:rPr>
          <w:rFonts w:hint="eastAsia" w:ascii="仿宋_GB2312" w:eastAsia="仿宋_GB2312"/>
          <w:sz w:val="28"/>
          <w:szCs w:val="28"/>
          <w:lang w:val="en-US" w:eastAsia="zh-CN"/>
        </w:rPr>
        <w:t>0</w:t>
      </w:r>
      <w:r>
        <w:rPr>
          <w:rFonts w:hint="eastAsia" w:ascii="仿宋_GB2312" w:eastAsia="仿宋_GB2312"/>
          <w:sz w:val="28"/>
          <w:szCs w:val="28"/>
        </w:rPr>
        <w:t>万元；新购置单位价值100万元（含）以上的设备</w:t>
      </w:r>
      <w:r>
        <w:rPr>
          <w:rFonts w:hint="eastAsia" w:ascii="仿宋_GB2312" w:eastAsia="仿宋_GB2312"/>
          <w:sz w:val="28"/>
          <w:szCs w:val="28"/>
          <w:lang w:val="en-US" w:eastAsia="zh-CN"/>
        </w:rPr>
        <w:t>0</w:t>
      </w:r>
      <w:r>
        <w:rPr>
          <w:rFonts w:hint="eastAsia" w:ascii="仿宋_GB2312" w:eastAsia="仿宋_GB2312"/>
          <w:sz w:val="28"/>
          <w:szCs w:val="28"/>
        </w:rPr>
        <w:t>台（套），共计</w:t>
      </w:r>
      <w:r>
        <w:rPr>
          <w:rFonts w:hint="eastAsia" w:ascii="仿宋_GB2312" w:eastAsia="仿宋_GB2312"/>
          <w:sz w:val="28"/>
          <w:szCs w:val="28"/>
          <w:lang w:val="en-US" w:eastAsia="zh-CN"/>
        </w:rPr>
        <w:t>0</w:t>
      </w:r>
      <w:r>
        <w:rPr>
          <w:rFonts w:hint="eastAsia" w:ascii="仿宋_GB2312" w:eastAsia="仿宋_GB2312"/>
          <w:sz w:val="28"/>
          <w:szCs w:val="28"/>
        </w:rPr>
        <w:t>万元。截至12月31日，</w:t>
      </w:r>
      <w:r>
        <w:rPr>
          <w:rFonts w:hint="eastAsia" w:ascii="仿宋_GB2312" w:eastAsia="仿宋_GB2312"/>
          <w:sz w:val="28"/>
          <w:szCs w:val="28"/>
          <w:lang w:val="en-US" w:eastAsia="zh-CN"/>
        </w:rPr>
        <w:t>北京市西城区科学技术协会（本级）</w:t>
      </w:r>
      <w:r>
        <w:rPr>
          <w:rFonts w:hint="eastAsia" w:ascii="仿宋_GB2312" w:eastAsia="仿宋_GB2312"/>
          <w:sz w:val="28"/>
          <w:szCs w:val="28"/>
          <w:lang w:eastAsia="zh-CN"/>
        </w:rPr>
        <w:t>共有</w:t>
      </w:r>
      <w:r>
        <w:rPr>
          <w:rFonts w:hint="eastAsia" w:ascii="仿宋_GB2312" w:eastAsia="仿宋_GB2312"/>
          <w:sz w:val="28"/>
          <w:szCs w:val="28"/>
        </w:rPr>
        <w:t>车辆</w:t>
      </w:r>
      <w:r>
        <w:rPr>
          <w:rFonts w:hint="eastAsia" w:ascii="仿宋_GB2312" w:eastAsia="仿宋_GB2312"/>
          <w:sz w:val="28"/>
          <w:szCs w:val="28"/>
          <w:lang w:val="en-US" w:eastAsia="zh-CN"/>
        </w:rPr>
        <w:t>1</w:t>
      </w:r>
      <w:r>
        <w:rPr>
          <w:rFonts w:hint="eastAsia" w:ascii="仿宋_GB2312" w:eastAsia="仿宋_GB2312"/>
          <w:sz w:val="28"/>
          <w:szCs w:val="28"/>
        </w:rPr>
        <w:t>台；单位价值100万元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w:t>
      </w:r>
      <w:r>
        <w:rPr>
          <w:rFonts w:hint="eastAsia" w:ascii="仿宋_GB2312" w:eastAsia="仿宋_GB2312"/>
          <w:sz w:val="28"/>
          <w:szCs w:val="28"/>
        </w:rPr>
        <w:t>台（套）。</w:t>
      </w:r>
    </w:p>
    <w:p w14:paraId="3C1EDA7B">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14:paraId="4E2B5579">
      <w:pPr>
        <w:ind w:firstLine="537" w:firstLineChars="192"/>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w:t>
      </w:r>
      <w:r>
        <w:rPr>
          <w:rFonts w:ascii="仿宋_GB2312" w:eastAsia="仿宋_GB2312"/>
          <w:sz w:val="28"/>
          <w:szCs w:val="28"/>
        </w:rPr>
        <w:t>政府购买服务决算0.61</w:t>
      </w:r>
      <w:r>
        <w:rPr>
          <w:rFonts w:hint="eastAsia" w:ascii="仿宋_GB2312" w:eastAsia="仿宋_GB2312"/>
          <w:sz w:val="28"/>
          <w:szCs w:val="28"/>
        </w:rPr>
        <w:t>万元。</w:t>
      </w:r>
    </w:p>
    <w:p w14:paraId="2A9BF9FD">
      <w:pPr>
        <w:ind w:firstLine="560" w:firstLineChars="200"/>
        <w:jc w:val="left"/>
        <w:rPr>
          <w:rFonts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14:paraId="697B4A8E">
      <w:pPr>
        <w:ind w:firstLine="560" w:firstLineChars="200"/>
        <w:rPr>
          <w:rFonts w:hint="eastAsia"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14:paraId="5491C7A1">
      <w:pPr>
        <w:ind w:firstLine="560" w:firstLineChars="200"/>
        <w:rPr>
          <w:rFonts w:hint="eastAsia"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14:paraId="70FC8957">
      <w:pPr>
        <w:ind w:firstLine="560" w:firstLineChars="200"/>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14:paraId="7570BD3F">
      <w:pPr>
        <w:ind w:firstLine="560" w:firstLineChars="200"/>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14:paraId="265C2C9B">
      <w:pPr>
        <w:ind w:firstLine="420" w:firstLineChars="150"/>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14:paraId="60B299E1">
      <w:pPr>
        <w:ind w:firstLine="420" w:firstLineChars="150"/>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14:paraId="19C77A45">
      <w:pPr>
        <w:rPr>
          <w:rFonts w:ascii="仿宋_GB2312" w:eastAsia="仿宋_GB2312"/>
          <w:sz w:val="28"/>
          <w:szCs w:val="28"/>
        </w:rPr>
      </w:pPr>
    </w:p>
    <w:p w14:paraId="3BED7347">
      <w:pPr>
        <w:ind w:firstLine="632" w:firstLineChars="200"/>
        <w:rPr>
          <w:rFonts w:ascii="仿宋_GB2312" w:eastAsia="仿宋_GB2312"/>
          <w:b/>
          <w:color w:val="000000"/>
          <w:spacing w:val="-2"/>
          <w:sz w:val="32"/>
          <w:szCs w:val="32"/>
        </w:rPr>
      </w:pPr>
    </w:p>
    <w:p w14:paraId="7EBACF02">
      <w:pPr>
        <w:ind w:firstLine="640" w:firstLineChars="200"/>
        <w:jc w:val="center"/>
        <w:rPr>
          <w:rFonts w:ascii="黑体" w:eastAsia="黑体"/>
          <w:sz w:val="32"/>
          <w:szCs w:val="32"/>
        </w:rPr>
      </w:pPr>
    </w:p>
    <w:p w14:paraId="6CF766CF">
      <w:pPr>
        <w:pStyle w:val="2"/>
        <w:rPr>
          <w:rFonts w:ascii="黑体" w:eastAsia="黑体"/>
          <w:sz w:val="32"/>
          <w:szCs w:val="32"/>
        </w:rPr>
      </w:pPr>
    </w:p>
    <w:p w14:paraId="1831D7BD">
      <w:pPr>
        <w:rPr>
          <w:rFonts w:ascii="黑体" w:eastAsia="黑体"/>
          <w:sz w:val="32"/>
          <w:szCs w:val="32"/>
        </w:rPr>
      </w:pPr>
    </w:p>
    <w:p w14:paraId="5A580571">
      <w:pPr>
        <w:pStyle w:val="2"/>
      </w:pPr>
    </w:p>
    <w:p w14:paraId="7736E1C1"/>
    <w:p w14:paraId="755D77F2">
      <w:pPr>
        <w:pStyle w:val="2"/>
      </w:pPr>
    </w:p>
    <w:p w14:paraId="4B8E7641"/>
    <w:p w14:paraId="0E520D17">
      <w:pPr>
        <w:pStyle w:val="2"/>
      </w:pPr>
      <w:bookmarkStart w:id="0" w:name="_GoBack"/>
      <w:bookmarkEnd w:id="0"/>
    </w:p>
    <w:p w14:paraId="2BBA1F41">
      <w:pPr>
        <w:ind w:firstLine="640" w:firstLineChars="200"/>
        <w:jc w:val="center"/>
        <w:rPr>
          <w:rFonts w:ascii="黑体" w:eastAsia="黑体"/>
          <w:sz w:val="32"/>
          <w:szCs w:val="32"/>
        </w:rPr>
      </w:pPr>
    </w:p>
    <w:p w14:paraId="1754AFF7">
      <w:pPr>
        <w:ind w:firstLine="640" w:firstLineChars="200"/>
        <w:jc w:val="center"/>
        <w:rPr>
          <w:rFonts w:ascii="黑体" w:eastAsia="黑体"/>
          <w:sz w:val="32"/>
          <w:szCs w:val="32"/>
        </w:rPr>
      </w:pPr>
      <w:r>
        <w:rPr>
          <w:rFonts w:hint="eastAsia" w:ascii="黑体" w:eastAsia="黑体"/>
          <w:sz w:val="32"/>
          <w:szCs w:val="32"/>
        </w:rPr>
        <w:t xml:space="preserve">第四部分  </w:t>
      </w:r>
      <w:r>
        <w:rPr>
          <w:rFonts w:hint="eastAsia" w:ascii="黑体" w:eastAsia="黑体"/>
          <w:sz w:val="32"/>
          <w:szCs w:val="32"/>
          <w:lang w:eastAsia="zh-CN"/>
        </w:rPr>
        <w:t>2024</w:t>
      </w:r>
      <w:r>
        <w:rPr>
          <w:rFonts w:hint="eastAsia" w:ascii="黑体" w:eastAsia="黑体"/>
          <w:sz w:val="32"/>
          <w:szCs w:val="32"/>
        </w:rPr>
        <w:t>年度部门绩效评价情况</w:t>
      </w:r>
    </w:p>
    <w:p w14:paraId="032B3AF1">
      <w:pPr>
        <w:ind w:firstLine="560" w:firstLineChars="200"/>
        <w:rPr>
          <w:rFonts w:ascii="黑体" w:eastAsia="黑体"/>
          <w:sz w:val="28"/>
          <w:szCs w:val="28"/>
          <w:highlight w:val="yellow"/>
        </w:rPr>
      </w:pPr>
    </w:p>
    <w:p w14:paraId="080E4A32">
      <w:pPr>
        <w:ind w:firstLine="560" w:firstLineChars="200"/>
        <w:rPr>
          <w:rFonts w:ascii="黑体" w:eastAsia="黑体"/>
          <w:sz w:val="28"/>
          <w:szCs w:val="28"/>
        </w:rPr>
      </w:pPr>
      <w:r>
        <w:rPr>
          <w:rFonts w:hint="eastAsia" w:ascii="黑体" w:eastAsia="黑体"/>
          <w:sz w:val="28"/>
          <w:szCs w:val="28"/>
        </w:rPr>
        <w:t>一、部门整体绩效评价报告（详见附件）</w:t>
      </w:r>
    </w:p>
    <w:p w14:paraId="0282A169">
      <w:pPr>
        <w:ind w:firstLine="560" w:firstLineChars="200"/>
        <w:rPr>
          <w:rFonts w:ascii="黑体" w:eastAsia="黑体"/>
          <w:sz w:val="28"/>
          <w:szCs w:val="28"/>
        </w:rPr>
      </w:pPr>
      <w:r>
        <w:rPr>
          <w:rFonts w:hint="eastAsia" w:ascii="黑体" w:eastAsia="黑体"/>
          <w:sz w:val="28"/>
          <w:szCs w:val="28"/>
        </w:rPr>
        <w:t>二、项目支出绩效评价报告（详见附件）</w:t>
      </w:r>
    </w:p>
    <w:p w14:paraId="4C08322B">
      <w:pPr>
        <w:ind w:firstLine="560" w:firstLineChars="200"/>
        <w:rPr>
          <w:rFonts w:ascii="黑体" w:eastAsia="黑体"/>
          <w:sz w:val="28"/>
          <w:szCs w:val="28"/>
        </w:rPr>
      </w:pPr>
      <w:r>
        <w:rPr>
          <w:rFonts w:hint="eastAsia" w:ascii="黑体" w:eastAsia="黑体"/>
          <w:sz w:val="28"/>
          <w:szCs w:val="28"/>
        </w:rPr>
        <w:t>三</w:t>
      </w:r>
      <w:r>
        <w:rPr>
          <w:rFonts w:ascii="黑体" w:eastAsia="黑体"/>
          <w:sz w:val="28"/>
          <w:szCs w:val="28"/>
        </w:rPr>
        <w:t>、</w:t>
      </w:r>
      <w:r>
        <w:rPr>
          <w:rFonts w:hint="eastAsia" w:ascii="黑体" w:eastAsia="黑体"/>
          <w:sz w:val="28"/>
          <w:szCs w:val="28"/>
        </w:rPr>
        <w:t>项目</w:t>
      </w:r>
      <w:r>
        <w:rPr>
          <w:rFonts w:ascii="黑体" w:eastAsia="黑体"/>
          <w:sz w:val="28"/>
          <w:szCs w:val="28"/>
        </w:rPr>
        <w:t>支出绩效自评表</w:t>
      </w:r>
      <w:r>
        <w:rPr>
          <w:rFonts w:hint="eastAsia" w:ascii="黑体" w:eastAsia="黑体"/>
          <w:sz w:val="28"/>
          <w:szCs w:val="28"/>
        </w:rPr>
        <w:t>（详见附件）</w:t>
      </w:r>
    </w:p>
    <w:p w14:paraId="0C1A136F">
      <w:pPr>
        <w:ind w:firstLine="560" w:firstLineChars="200"/>
        <w:rPr>
          <w:rFonts w:ascii="黑体" w:eastAsia="黑体"/>
          <w:sz w:val="28"/>
          <w:szCs w:val="28"/>
        </w:rPr>
      </w:pPr>
      <w:r>
        <w:rPr>
          <w:rFonts w:hint="eastAsia" w:ascii="黑体" w:eastAsia="黑体"/>
          <w:sz w:val="28"/>
          <w:szCs w:val="28"/>
        </w:rPr>
        <w:t>四、中央对北京XX转移支付预算执行情况绩效自评报告（详见附件）</w:t>
      </w:r>
    </w:p>
    <w:p w14:paraId="3F103B47">
      <w:pPr>
        <w:spacing w:line="480" w:lineRule="exact"/>
        <w:ind w:firstLine="560"/>
        <w:rPr>
          <w:rFonts w:ascii="黑体" w:eastAsia="黑体"/>
          <w:sz w:val="28"/>
          <w:szCs w:val="28"/>
        </w:rPr>
      </w:pPr>
      <w:r>
        <w:rPr>
          <w:rFonts w:hint="eastAsia" w:ascii="黑体" w:eastAsia="黑体"/>
          <w:sz w:val="28"/>
          <w:szCs w:val="28"/>
        </w:rPr>
        <w:t>（注：有中央转移支付的一级预算部门，公开“一、二、三、四”；没有中央转移支付的一级预算部门，公开“一、二、三”；二级预算单位仅公开“三”。）</w:t>
      </w:r>
    </w:p>
    <w:p w14:paraId="1F3DD3A5">
      <w:pPr>
        <w:pStyle w:val="2"/>
        <w:ind w:firstLine="560"/>
      </w:pPr>
    </w:p>
    <w:p w14:paraId="7C73837A"/>
    <w:p w14:paraId="4613B251">
      <w:pPr>
        <w:pStyle w:val="2"/>
      </w:pPr>
    </w:p>
    <w:p w14:paraId="7BBE8B9B"/>
    <w:p w14:paraId="6C4061EC"/>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0146F">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3</w:t>
    </w:r>
    <w:r>
      <w:fldChar w:fldCharType="end"/>
    </w:r>
  </w:p>
  <w:p w14:paraId="0824A54B">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2C3FB">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5</w:t>
    </w:r>
    <w:r>
      <w:fldChar w:fldCharType="end"/>
    </w:r>
  </w:p>
  <w:p w14:paraId="7618EDE9">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5DDD6">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15</w:t>
    </w:r>
    <w:r>
      <w:fldChar w:fldCharType="end"/>
    </w:r>
  </w:p>
  <w:p w14:paraId="4ABF72BF">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wMTNkNzRkOGQ3ZDg5YTBkMDAwNTJiNjc4NWVlMjc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267A6"/>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06F4"/>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278B0"/>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2F120AB"/>
    <w:rsid w:val="04C3537C"/>
    <w:rsid w:val="079004AC"/>
    <w:rsid w:val="0BA148CA"/>
    <w:rsid w:val="0C1165C4"/>
    <w:rsid w:val="0DD136FE"/>
    <w:rsid w:val="0F8E2C57"/>
    <w:rsid w:val="1059665E"/>
    <w:rsid w:val="10AC13BA"/>
    <w:rsid w:val="145A6C1B"/>
    <w:rsid w:val="167A2FF9"/>
    <w:rsid w:val="1AEC0734"/>
    <w:rsid w:val="1DEF20B0"/>
    <w:rsid w:val="214243FA"/>
    <w:rsid w:val="21AD613C"/>
    <w:rsid w:val="257A14F5"/>
    <w:rsid w:val="27196C26"/>
    <w:rsid w:val="29EF086F"/>
    <w:rsid w:val="2B7B3A0B"/>
    <w:rsid w:val="2EFFE297"/>
    <w:rsid w:val="301437CA"/>
    <w:rsid w:val="349D1F0A"/>
    <w:rsid w:val="34DD0473"/>
    <w:rsid w:val="37383BE8"/>
    <w:rsid w:val="3A2820B8"/>
    <w:rsid w:val="3AFD36B2"/>
    <w:rsid w:val="3C684897"/>
    <w:rsid w:val="3E766B6B"/>
    <w:rsid w:val="40B21825"/>
    <w:rsid w:val="433E495C"/>
    <w:rsid w:val="489F2FD7"/>
    <w:rsid w:val="4AC27CB3"/>
    <w:rsid w:val="4AF91C77"/>
    <w:rsid w:val="4BF72BEF"/>
    <w:rsid w:val="4FA90297"/>
    <w:rsid w:val="4FC41A43"/>
    <w:rsid w:val="51DB3C59"/>
    <w:rsid w:val="543534D1"/>
    <w:rsid w:val="550C0952"/>
    <w:rsid w:val="55762E42"/>
    <w:rsid w:val="57A7B272"/>
    <w:rsid w:val="58470068"/>
    <w:rsid w:val="58747CAC"/>
    <w:rsid w:val="5A1720F9"/>
    <w:rsid w:val="5B9C37C2"/>
    <w:rsid w:val="5BA7C654"/>
    <w:rsid w:val="60A54109"/>
    <w:rsid w:val="61D01CDF"/>
    <w:rsid w:val="64C0607C"/>
    <w:rsid w:val="65756C86"/>
    <w:rsid w:val="674D385B"/>
    <w:rsid w:val="676F09E1"/>
    <w:rsid w:val="75445465"/>
    <w:rsid w:val="7664377B"/>
    <w:rsid w:val="798524E4"/>
    <w:rsid w:val="7A7F1C49"/>
    <w:rsid w:val="7B5B7AE6"/>
    <w:rsid w:val="7B7B6628"/>
    <w:rsid w:val="7BA7071E"/>
    <w:rsid w:val="7BDF6DA8"/>
    <w:rsid w:val="7C2D79D7"/>
    <w:rsid w:val="7C7EDC1A"/>
    <w:rsid w:val="7CCED98D"/>
    <w:rsid w:val="7D08410F"/>
    <w:rsid w:val="7DB96DED"/>
    <w:rsid w:val="7DD3AD81"/>
    <w:rsid w:val="7F7FE70F"/>
    <w:rsid w:val="7FFF772F"/>
    <w:rsid w:val="95F35EF6"/>
    <w:rsid w:val="9BFFD860"/>
    <w:rsid w:val="AC5F73DE"/>
    <w:rsid w:val="B5DDD2C8"/>
    <w:rsid w:val="B9DFABD9"/>
    <w:rsid w:val="BC0D83FC"/>
    <w:rsid w:val="BF3BDEFB"/>
    <w:rsid w:val="C75F6086"/>
    <w:rsid w:val="C7F7ED2D"/>
    <w:rsid w:val="CFAF854E"/>
    <w:rsid w:val="D8D7928E"/>
    <w:rsid w:val="D8FE3136"/>
    <w:rsid w:val="DDDE60B7"/>
    <w:rsid w:val="DE9F6A22"/>
    <w:rsid w:val="DF4FCE6A"/>
    <w:rsid w:val="E4FED278"/>
    <w:rsid w:val="EDAA365C"/>
    <w:rsid w:val="EDADFC12"/>
    <w:rsid w:val="F2FD229B"/>
    <w:rsid w:val="F7F709E9"/>
    <w:rsid w:val="F7FF3690"/>
    <w:rsid w:val="F9BD3900"/>
    <w:rsid w:val="FC8B9876"/>
    <w:rsid w:val="FEDFF218"/>
    <w:rsid w:val="FEDFF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100" w:beforeAutospacing="1" w:after="100" w:afterAutospacing="1"/>
      <w:outlineLvl w:val="1"/>
    </w:pPr>
    <w:rPr>
      <w:rFonts w:ascii="Cambria" w:hAnsi="Cambria" w:eastAsia="黑体"/>
      <w:b/>
      <w:bCs/>
      <w:kern w:val="0"/>
      <w:sz w:val="36"/>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200" w:firstLineChars="200"/>
    </w:pPr>
  </w:style>
  <w:style w:type="paragraph" w:styleId="4">
    <w:name w:val="Body Text Indent"/>
    <w:basedOn w:val="1"/>
    <w:qFormat/>
    <w:uiPriority w:val="0"/>
    <w:pPr>
      <w:ind w:firstLine="645"/>
    </w:pPr>
    <w:rPr>
      <w:rFonts w:ascii="仿宋_GB2312" w:hAnsi="Calibri" w:eastAsia="仿宋_GB2312"/>
      <w:sz w:val="32"/>
      <w:szCs w:val="32"/>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Normal (Web)"/>
    <w:basedOn w:val="1"/>
    <w:unhideWhenUsed/>
    <w:qFormat/>
    <w:uiPriority w:val="0"/>
    <w:pPr>
      <w:spacing w:before="100" w:beforeAutospacing="1" w:after="100" w:afterAutospacing="1"/>
      <w:ind w:right="238"/>
      <w:jc w:val="left"/>
    </w:pPr>
    <w:rPr>
      <w:b/>
      <w:kern w:val="0"/>
      <w:sz w:val="24"/>
      <w:szCs w:val="20"/>
    </w:rPr>
  </w:style>
  <w:style w:type="character" w:styleId="12">
    <w:name w:val="Strong"/>
    <w:qFormat/>
    <w:uiPriority w:val="0"/>
    <w:rPr>
      <w:b/>
    </w:rPr>
  </w:style>
  <w:style w:type="character" w:styleId="13">
    <w:name w:val="page number"/>
    <w:qFormat/>
    <w:uiPriority w:val="0"/>
  </w:style>
  <w:style w:type="character" w:customStyle="1" w:styleId="14">
    <w:name w:val="页脚 Char"/>
    <w:link w:val="7"/>
    <w:qFormat/>
    <w:uiPriority w:val="0"/>
    <w:rPr>
      <w:rFonts w:eastAsia="宋体"/>
      <w:kern w:val="2"/>
      <w:sz w:val="18"/>
      <w:szCs w:val="18"/>
      <w:lang w:val="en-US" w:eastAsia="zh-CN" w:bidi="ar-SA"/>
    </w:rPr>
  </w:style>
  <w:style w:type="character" w:customStyle="1" w:styleId="15">
    <w:name w:val="页眉 Char"/>
    <w:link w:val="8"/>
    <w:qFormat/>
    <w:uiPriority w:val="0"/>
    <w:rPr>
      <w:rFonts w:ascii="Calibri" w:hAnsi="Calibri" w:eastAsia="宋体"/>
      <w:kern w:val="2"/>
      <w:sz w:val="18"/>
      <w:szCs w:val="18"/>
      <w:lang w:val="en-US" w:eastAsia="zh-CN" w:bidi="ar-SA"/>
    </w:rPr>
  </w:style>
  <w:style w:type="paragraph" w:customStyle="1" w:styleId="16">
    <w:name w:val="Char Char Char Char Char Char Char"/>
    <w:basedOn w:val="1"/>
    <w:qFormat/>
    <w:uiPriority w:val="0"/>
    <w:rPr>
      <w:rFonts w:ascii="Tahoma" w:hAnsi="Tahoma"/>
      <w:sz w:val="24"/>
      <w:szCs w:val="20"/>
    </w:rPr>
  </w:style>
  <w:style w:type="paragraph" w:customStyle="1" w:styleId="17">
    <w:name w:val="Char1 Char Char Char"/>
    <w:basedOn w:val="1"/>
    <w:qFormat/>
    <w:uiPriority w:val="0"/>
    <w:pPr>
      <w:widowControl/>
      <w:spacing w:after="160" w:line="240" w:lineRule="exact"/>
      <w:jc w:val="left"/>
    </w:pPr>
    <w:rPr>
      <w:szCs w:val="20"/>
    </w:rPr>
  </w:style>
  <w:style w:type="paragraph" w:customStyle="1" w:styleId="18">
    <w:name w:val="Char"/>
    <w:basedOn w:val="1"/>
    <w:qFormat/>
    <w:uiPriority w:val="0"/>
    <w:rPr>
      <w:rFonts w:ascii="Tahoma" w:hAnsi="Tahoma"/>
      <w:sz w:val="24"/>
      <w:szCs w:val="20"/>
    </w:rPr>
  </w:style>
  <w:style w:type="paragraph" w:customStyle="1" w:styleId="19">
    <w:name w:val="Char Char3 Char Char"/>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收入决算</a:t>
            </a:r>
            <a:endParaRPr lang="zh-CN" altLang="en-US" sz="1400" b="0"/>
          </a:p>
        </c:rich>
      </c:tx>
      <c:layout/>
      <c:overlay val="0"/>
    </c:title>
    <c:autoTitleDeleted val="0"/>
    <c:plotArea>
      <c:layout/>
      <c:pieChart>
        <c:varyColors val="1"/>
        <c:ser>
          <c:idx val="0"/>
          <c:order val="0"/>
          <c:tx>
            <c:strRef>
              <c:f>Sheet1!$B$1</c:f>
              <c:strCache>
                <c:ptCount val="1"/>
                <c:pt idx="0">
                  <c:v>收入</c:v>
                </c:pt>
              </c:strCache>
            </c:strRef>
          </c:tx>
          <c:explosion val="0"/>
          <c:dPt>
            <c:idx val="0"/>
            <c:bubble3D val="0"/>
          </c:dPt>
          <c:dPt>
            <c:idx val="1"/>
            <c:bubble3D val="0"/>
          </c:dPt>
          <c:dPt>
            <c:idx val="2"/>
            <c:bubble3D val="0"/>
          </c:dPt>
          <c:dPt>
            <c:idx val="3"/>
            <c:bubble3D val="0"/>
          </c:dPt>
          <c:dPt>
            <c:idx val="4"/>
            <c:bubble3D val="0"/>
          </c:dPt>
          <c:dPt>
            <c:idx val="5"/>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6"/>
                <c:pt idx="0">
                  <c:v>财政拨款收入</c:v>
                </c:pt>
                <c:pt idx="1">
                  <c:v>上级补助收入</c:v>
                </c:pt>
                <c:pt idx="2">
                  <c:v>事业收入</c:v>
                </c:pt>
                <c:pt idx="3">
                  <c:v>经营收入</c:v>
                </c:pt>
                <c:pt idx="4">
                  <c:v>附属单位上缴</c:v>
                </c:pt>
                <c:pt idx="5">
                  <c:v>其他收入</c:v>
                </c:pt>
              </c:strCache>
            </c:strRef>
          </c:cat>
          <c:val>
            <c:numRef>
              <c:f>Sheet1!$B$2:$B$7</c:f>
              <c:numCache>
                <c:formatCode>General</c:formatCode>
                <c:ptCount val="6"/>
                <c:pt idx="0">
                  <c:v>601.16</c:v>
                </c:pt>
                <c:pt idx="1">
                  <c:v>0</c:v>
                </c:pt>
                <c:pt idx="2">
                  <c:v>0</c:v>
                </c:pt>
                <c:pt idx="3">
                  <c:v>0</c:v>
                </c:pt>
                <c:pt idx="4">
                  <c:v>0</c:v>
                </c:pt>
                <c:pt idx="5">
                  <c:v>0</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94b11568-5164-4d11-9a0a-30e4ce104ccd}"/>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lang="zh-CN" altLang="en-US">
                <a:solidFill>
                  <a:schemeClr val="tx1"/>
                </a:solidFill>
              </a:rPr>
              <a:t>支出决算</a:t>
            </a:r>
            <a:endParaRPr lang="zh-CN" altLang="en-US">
              <a:solidFill>
                <a:schemeClr val="tx1"/>
              </a:solidFill>
            </a:endParaRPr>
          </a:p>
        </c:rich>
      </c:tx>
      <c:layout/>
      <c:overlay val="0"/>
      <c:spPr>
        <a:noFill/>
        <a:ln>
          <a:noFill/>
        </a:ln>
        <a:effectLst/>
      </c:spPr>
    </c:title>
    <c:autoTitleDeleted val="0"/>
    <c:plotArea>
      <c:layout/>
      <c:pieChart>
        <c:varyColors val="1"/>
        <c:ser>
          <c:idx val="0"/>
          <c:order val="0"/>
          <c:tx>
            <c:strRef>
              <c:f>Sheet0!$B$1</c:f>
              <c:strCache>
                <c:ptCount val="1"/>
                <c:pt idx="0">
                  <c:v>支出</c:v>
                </c:pt>
              </c:strCache>
            </c:strRef>
          </c:tx>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Lbls>
            <c:dLbl>
              <c:idx val="2"/>
              <c:layout>
                <c:manualLayout>
                  <c:x val="-0.03900372940115"/>
                  <c:y val="0.032827143610787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389887693586102"/>
                  <c:y val="0.010511229510062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Sheet0!$A$2:$A$6</c:f>
              <c:strCache>
                <c:ptCount val="5"/>
                <c:pt idx="0">
                  <c:v>基本支出</c:v>
                </c:pt>
                <c:pt idx="1">
                  <c:v>项目支出</c:v>
                </c:pt>
                <c:pt idx="2">
                  <c:v>上缴上级支出</c:v>
                </c:pt>
                <c:pt idx="3">
                  <c:v>经营支出</c:v>
                </c:pt>
                <c:pt idx="4">
                  <c:v>对附属单位补助支出</c:v>
                </c:pt>
              </c:strCache>
            </c:strRef>
          </c:cat>
          <c:val>
            <c:numRef>
              <c:f>Sheet0!$B$2:$B$6</c:f>
              <c:numCache>
                <c:formatCode>General</c:formatCode>
                <c:ptCount val="5"/>
                <c:pt idx="0">
                  <c:v>382.59</c:v>
                </c:pt>
                <c:pt idx="1">
                  <c:v>218.57</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4"/>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9d6622de-6118-498c-979b-29192b3ddbe5}"/>
      </c:ext>
    </c:extLst>
  </c:chart>
  <c:spPr>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4180</Words>
  <Characters>4612</Characters>
  <Lines>44</Lines>
  <Paragraphs>12</Paragraphs>
  <TotalTime>2</TotalTime>
  <ScaleCrop>false</ScaleCrop>
  <LinksUpToDate>false</LinksUpToDate>
  <CharactersWithSpaces>4637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2017-07-11T15:16:00Z</dcterms:created>
  <dc:creator>常程</dc:creator>
  <cp:lastModifiedBy>徐小图</cp:lastModifiedBy>
  <cp:lastPrinted>2020-08-07T11:39:00Z</cp:lastPrinted>
  <dcterms:modified xsi:type="dcterms:W3CDTF">2025-08-27T02:32:10Z</dcterms:modified>
  <dc:title>北京市财政局关于做好向市人大常委会报送2015年度市级部门决算（草案）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435078ACFECC4A5A8A519EF4C3681114_13</vt:lpwstr>
  </property>
  <property fmtid="{D5CDD505-2E9C-101B-9397-08002B2CF9AE}" pid="4" name="KSOTemplateDocerSaveRecord">
    <vt:lpwstr>eyJoZGlkIjoiODcwNGYzNTEwYzg3YWE0YTNmMWU2ODAyNDMwMWI4YzciLCJ1c2VySWQiOiIyNzAxNTY3MzkifQ==</vt:lpwstr>
  </property>
</Properties>
</file>