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B9" w:rsidRDefault="003860B9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436"/>
        <w:gridCol w:w="670"/>
        <w:gridCol w:w="1080"/>
        <w:gridCol w:w="2129"/>
        <w:gridCol w:w="2129"/>
        <w:gridCol w:w="493"/>
        <w:gridCol w:w="590"/>
        <w:gridCol w:w="532"/>
      </w:tblGrid>
      <w:tr w:rsidR="003860B9" w:rsidTr="00270041">
        <w:trPr>
          <w:cantSplit/>
          <w:trHeight w:hRule="exact" w:val="440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0B9" w:rsidRDefault="00A7179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3860B9" w:rsidTr="00270041">
        <w:trPr>
          <w:cantSplit/>
          <w:trHeight w:val="194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0B9" w:rsidRDefault="00A717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旧鼓楼大街空间品质提升项目</w:t>
            </w: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北京市西城区城市管理委员会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1321.47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E33C8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3860B9" w:rsidTr="00270041">
        <w:trPr>
          <w:cantSplit/>
          <w:trHeight w:hRule="exact" w:val="5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结清尾款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完成尾款支付</w:t>
            </w:r>
          </w:p>
        </w:tc>
      </w:tr>
      <w:tr w:rsidR="003860B9" w:rsidTr="00270041">
        <w:trPr>
          <w:cantSplit/>
          <w:trHeight w:hRule="exact" w:val="517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3860B9" w:rsidTr="003A015F">
        <w:trPr>
          <w:cantSplit/>
          <w:trHeight w:hRule="exact" w:val="9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指标1：沿街建筑立面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约1600平米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约1600平米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12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指标2：路侧停车监控及违停监控设施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全线路侧停车收费设施10套；   交通违停监控探头设施6台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全线路侧停车收费设施10套；   交通违停监控探头设施6台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226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 w:rsidP="00171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指标3：公共空间提升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 w:rsidP="00171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阻车设施安装（阻车桩171根，栏杆650m）；人行步道铺装8260㎡；树池安装修补144套；树池篦子安装修补134套；路</w:t>
            </w:r>
            <w:r w:rsidR="00171641"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缘石安装修</w:t>
            </w: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复2400m；  公共空间提升710㎡；绿化景观提升3200㎡；行道树补植7</w:t>
            </w:r>
            <w:r w:rsid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 w:rsidP="00171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阻车设施安装（阻车桩171根，栏杆650m）；人行步道铺装8260㎡；树池安装修补144套；树池篦子安装修补134套；路缘石安装修复2400m；  公共空间提升710㎡；绿化景观提升3200㎡；行道树补植7</w:t>
            </w:r>
            <w:r w:rsid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 w:rsidP="00171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171641" w:rsidRDefault="00A71797" w:rsidP="00171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716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 w:rsidP="00171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6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 w:rsidP="002700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指标4：交通工程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 w:rsidP="002700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全线道路铣刨，渠化，2个公交站点改造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 w:rsidP="002700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完成渠化，2</w:t>
            </w:r>
            <w:r w:rsid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个公交站点改造；道路铣刨未施工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 w:rsidP="002700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 w:rsidP="002700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 w:rsidP="002700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22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指标1：《建筑装饰装修工程施工及验收规范》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立面整治方面，计划达到的质量标准为合格，在实际工作中采取了门窗等厂内制作、现场安装方式，对成品保护进行控制，实际项目成果达到了质量标准要求；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立面整治方面，计划达到的质量标准为合格，在实际工作中采取了门窗等厂内制作、现场安装方式，对成品保护进行控制，实际项目成果达到了质量标准要求；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270041" w:rsidRDefault="00A7179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7004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19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_GoBack" w:colFirst="3" w:colLast="3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指标2：《城镇道路工程施工及验收规范》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路面改造方面，计划达到的质量标准为合格，在实际工作中采取了跟踪验收方式，实际项目成果达到了质量标准要求。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路面改造方面，计划达到的质量标准为合格，在实际工作中采取了跟踪验收方式，实际项目成果达到了质量标准要求。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16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 w:rsidP="00270041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指标1：工程程序进度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 w:rsidP="00270041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计划在2021年12月完成工程前期，2021年12月进场施工，2022年12月前完成项目施工。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 w:rsidP="00270041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计划在2021年12月完成工程前期，2021年12月进场施工，2022年12月前完成项目施工。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6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 w:rsidP="00270041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指标1：资金控制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3648.2万元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3648.2万元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9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指标1：经济效益指标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本着节约的原则推进预算执行。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本着节约的原则推进预算执行。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9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指标1：社会效益指标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提升街区品质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提升街区品质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97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指标1：环境效益指标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改善周围环境，提升环境品质。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改善周围环境，提升环境品质。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9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 w:rsidP="003A015F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指标1：可持续影响指标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提升民众宜居水平，城市发展品质。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提升民众宜居水平，城市发展品质。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270041">
        <w:trPr>
          <w:cantSplit/>
          <w:trHeight w:hRule="exact" w:val="29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101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A7179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指标1：提升群众满意度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群众满意度达到95%以上。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群众满意度达到95%以上。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B05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42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Default="003860B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3860B9" w:rsidTr="003A015F">
        <w:trPr>
          <w:cantSplit/>
          <w:trHeight w:hRule="exact" w:val="413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A71797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B052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0B9" w:rsidRPr="009B0520" w:rsidRDefault="003860B9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bookmarkEnd w:id="1"/>
    </w:tbl>
    <w:p w:rsidR="003860B9" w:rsidRDefault="003860B9">
      <w:pPr>
        <w:jc w:val="center"/>
        <w:rPr>
          <w:rFonts w:ascii="Times New Roman" w:eastAsia="宋体" w:hAnsi="Times New Roman" w:cs="Times New Roman"/>
          <w:sz w:val="52"/>
          <w:szCs w:val="52"/>
        </w:rPr>
      </w:pPr>
    </w:p>
    <w:sectPr w:rsidR="003860B9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2B" w:rsidRDefault="00D8082B">
      <w:r>
        <w:separator/>
      </w:r>
    </w:p>
  </w:endnote>
  <w:endnote w:type="continuationSeparator" w:id="0">
    <w:p w:rsidR="00D8082B" w:rsidRDefault="00D8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B9" w:rsidRDefault="00A71797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3860B9" w:rsidRDefault="003860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B9" w:rsidRDefault="00A71797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B0520" w:rsidRPr="009B0520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3860B9" w:rsidRDefault="003860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B9" w:rsidRDefault="00A7179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3860B9" w:rsidRDefault="003860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2B" w:rsidRDefault="00D8082B">
      <w:r>
        <w:separator/>
      </w:r>
    </w:p>
  </w:footnote>
  <w:footnote w:type="continuationSeparator" w:id="0">
    <w:p w:rsidR="00D8082B" w:rsidRDefault="00D80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468AD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95D03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E31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1641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004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442F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0B9"/>
    <w:rsid w:val="00386793"/>
    <w:rsid w:val="00387EE4"/>
    <w:rsid w:val="003929F8"/>
    <w:rsid w:val="00393A9D"/>
    <w:rsid w:val="003950EB"/>
    <w:rsid w:val="003951F2"/>
    <w:rsid w:val="00395543"/>
    <w:rsid w:val="00396589"/>
    <w:rsid w:val="003A015F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08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5F97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417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4A47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44CB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0C0A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1F0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66F5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95B6D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0520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49CE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1797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1E1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C8B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518"/>
    <w:rsid w:val="00CF1B6A"/>
    <w:rsid w:val="00CF2ED0"/>
    <w:rsid w:val="00CF314B"/>
    <w:rsid w:val="00CF5116"/>
    <w:rsid w:val="00D01622"/>
    <w:rsid w:val="00D02E19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696B"/>
    <w:rsid w:val="00D77076"/>
    <w:rsid w:val="00D8082B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3C8A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567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13F"/>
    <w:rsid w:val="00FE6424"/>
    <w:rsid w:val="00FE6430"/>
    <w:rsid w:val="00FF1B37"/>
    <w:rsid w:val="00FF2D5F"/>
    <w:rsid w:val="00FF4423"/>
    <w:rsid w:val="00FF57EF"/>
    <w:rsid w:val="00FF629E"/>
    <w:rsid w:val="00FF71B5"/>
    <w:rsid w:val="3B553297"/>
    <w:rsid w:val="5E8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rPr>
      <w:rFonts w:ascii="宋体" w:eastAsia="宋体" w:hAnsi="Courier New" w:cs="Courier New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9</cp:revision>
  <cp:lastPrinted>2025-04-16T06:14:00Z</cp:lastPrinted>
  <dcterms:created xsi:type="dcterms:W3CDTF">2025-04-16T06:34:00Z</dcterms:created>
  <dcterms:modified xsi:type="dcterms:W3CDTF">2025-08-27T08:07:00Z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eyJoZGlkIjoiYTI2NDhmNjlkMGNmZTNhOTUxNjEyN2RhMWE5OWE4MTciLCJ1c2VySWQiOiIxMDg2MjYxOTIwIn0=</vt:lpwstr>
  </property>
  <property fmtid="{D5CDD505-2E9C-101B-9397-08002B2CF9AE}" pid="3" name="KSOProductBuildVer">
    <vt:lpwstr>2052-11.8.2.8411</vt:lpwstr>
  </property>
  <property fmtid="{D5CDD505-2E9C-101B-9397-08002B2CF9AE}" pid="4" name="ICV">
    <vt:lpwstr>F177E76FD52B4529A290A04D78E05989_12</vt:lpwstr>
  </property>
</Properties>
</file>