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r>
        <w:rPr>
          <w:rFonts w:hint="eastAsia" w:ascii="仿宋_GB2312" w:eastAsia="仿宋_GB2312"/>
          <w:sz w:val="28"/>
          <w:szCs w:val="28"/>
        </w:rPr>
        <w:t>（比照</w:t>
      </w:r>
      <w:r>
        <w:rPr>
          <w:rFonts w:ascii="仿宋_GB2312" w:eastAsia="仿宋_GB2312"/>
          <w:sz w:val="28"/>
          <w:szCs w:val="28"/>
        </w:rPr>
        <w:t>预算公开</w:t>
      </w:r>
      <w:r>
        <w:rPr>
          <w:rFonts w:hint="eastAsia" w:ascii="仿宋_GB2312" w:eastAsia="仿宋_GB2312"/>
          <w:sz w:val="28"/>
          <w:szCs w:val="28"/>
        </w:rPr>
        <w:t>的内容</w:t>
      </w:r>
      <w:r>
        <w:rPr>
          <w:rFonts w:ascii="仿宋_GB2312" w:eastAsia="仿宋_GB2312"/>
          <w:sz w:val="28"/>
          <w:szCs w:val="28"/>
        </w:rPr>
        <w:t>格式）</w:t>
      </w:r>
    </w:p>
    <w:p>
      <w:pPr>
        <w:snapToGrid w:val="0"/>
        <w:spacing w:line="520" w:lineRule="exact"/>
        <w:ind w:firstLine="560" w:firstLineChars="200"/>
        <w:rPr>
          <w:rFonts w:hint="eastAsia" w:ascii="仿宋_GB2312" w:hAnsi="仿宋" w:eastAsia="仿宋_GB2312"/>
          <w:sz w:val="32"/>
          <w:szCs w:val="32"/>
        </w:rPr>
      </w:pP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r>
        <w:rPr>
          <w:rFonts w:hint="eastAsia" w:ascii="仿宋_GB2312" w:eastAsia="仿宋_GB2312"/>
          <w:sz w:val="28"/>
          <w:szCs w:val="28"/>
          <w:lang w:val="en-US" w:eastAsia="zh-CN"/>
        </w:rPr>
        <w:t>:</w:t>
      </w:r>
      <w:r>
        <w:rPr>
          <w:rFonts w:hint="eastAsia" w:ascii="仿宋_GB2312" w:hAnsi="仿宋" w:eastAsia="仿宋_GB2312"/>
          <w:sz w:val="32"/>
          <w:szCs w:val="32"/>
        </w:rPr>
        <w:t>北京市西城区交通综合治理中心是北京市西城区城市管理委员会下属全额拨款事业单位，是纳入202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年度部门决算汇编范围的独立核算二级单位，执行政府会计制度。</w:t>
      </w:r>
    </w:p>
    <w:p>
      <w:pPr>
        <w:tabs>
          <w:tab w:val="center" w:pos="6979"/>
        </w:tabs>
        <w:spacing w:line="580" w:lineRule="exact"/>
        <w:ind w:firstLine="800" w:firstLineChars="250"/>
        <w:rPr>
          <w:rFonts w:ascii="仿宋_GB2312" w:eastAsia="仿宋_GB2312"/>
          <w:sz w:val="28"/>
          <w:szCs w:val="28"/>
        </w:rPr>
      </w:pPr>
      <w:r>
        <w:rPr>
          <w:rFonts w:hint="eastAsia" w:ascii="仿宋_GB2312" w:hAnsi="仿宋" w:eastAsia="仿宋_GB2312"/>
          <w:sz w:val="32"/>
          <w:szCs w:val="32"/>
        </w:rPr>
        <w:t>组织开展社区停车管理工作；组织实施停车资源共享工作；统筹规划全区停车资源，承担停车资源信息化的基础性工作；对全区停车管理工作提出合理化建议；负责辖区内停车场的巡查工作；负责各类停车投诉案件的核查及答复工作；负责路侧停车电子收费管理等事务性工作；负责非机动车停车管理及区域内共享单车的管理工作。</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461.76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13.93</w:t>
      </w:r>
      <w:r>
        <w:rPr>
          <w:rFonts w:hint="eastAsia" w:ascii="仿宋_GB2312" w:eastAsia="仿宋_GB2312"/>
          <w:sz w:val="28"/>
          <w:szCs w:val="28"/>
        </w:rPr>
        <w:t>万元，下降</w:t>
      </w:r>
      <w:r>
        <w:rPr>
          <w:rFonts w:hint="eastAsia" w:ascii="仿宋_GB2312" w:eastAsia="仿宋_GB2312"/>
          <w:sz w:val="28"/>
          <w:szCs w:val="28"/>
          <w:lang w:val="en-US" w:eastAsia="zh-CN"/>
        </w:rPr>
        <w:t>2.93</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461.76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13.93</w:t>
      </w:r>
      <w:r>
        <w:rPr>
          <w:rFonts w:hint="eastAsia" w:ascii="仿宋_GB2312" w:eastAsia="仿宋_GB2312"/>
          <w:sz w:val="28"/>
          <w:szCs w:val="28"/>
        </w:rPr>
        <w:t>万元，下降</w:t>
      </w:r>
      <w:r>
        <w:rPr>
          <w:rFonts w:hint="eastAsia" w:ascii="仿宋_GB2312" w:eastAsia="仿宋_GB2312"/>
          <w:sz w:val="28"/>
          <w:szCs w:val="28"/>
          <w:lang w:val="en-US" w:eastAsia="zh-CN"/>
        </w:rPr>
        <w:t>2.93</w:t>
      </w:r>
      <w:r>
        <w:rPr>
          <w:rFonts w:hint="eastAsia" w:ascii="仿宋_GB2312" w:eastAsia="仿宋_GB2312"/>
          <w:sz w:val="28"/>
          <w:szCs w:val="28"/>
        </w:rPr>
        <w:t>%</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461.76</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461.76</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461.76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13.93</w:t>
      </w:r>
      <w:r>
        <w:rPr>
          <w:rFonts w:hint="eastAsia" w:ascii="仿宋_GB2312" w:eastAsia="仿宋_GB2312"/>
          <w:sz w:val="28"/>
          <w:szCs w:val="28"/>
        </w:rPr>
        <w:t>万元，下降</w:t>
      </w:r>
      <w:r>
        <w:rPr>
          <w:rFonts w:hint="eastAsia" w:ascii="仿宋_GB2312" w:eastAsia="仿宋_GB2312"/>
          <w:sz w:val="28"/>
          <w:szCs w:val="28"/>
          <w:lang w:val="en-US" w:eastAsia="zh-CN"/>
        </w:rPr>
        <w:t>2.93</w:t>
      </w:r>
      <w:r>
        <w:rPr>
          <w:rFonts w:hint="eastAsia" w:ascii="仿宋_GB2312" w:eastAsia="仿宋_GB2312"/>
          <w:sz w:val="28"/>
          <w:szCs w:val="28"/>
        </w:rPr>
        <w:t>%，其中：基本支出</w:t>
      </w:r>
      <w:r>
        <w:rPr>
          <w:rFonts w:ascii="仿宋_GB2312" w:eastAsia="仿宋_GB2312"/>
          <w:sz w:val="28"/>
          <w:szCs w:val="28"/>
        </w:rPr>
        <w:t>461.76</w:t>
      </w:r>
      <w:r>
        <w:rPr>
          <w:rFonts w:hint="eastAsia" w:ascii="仿宋_GB2312" w:eastAsia="仿宋_GB2312"/>
          <w:sz w:val="28"/>
          <w:szCs w:val="28"/>
        </w:rPr>
        <w:t>万元，占支出合计的</w:t>
      </w:r>
      <w:r>
        <w:rPr>
          <w:rFonts w:hint="eastAsia" w:ascii="仿宋_GB2312" w:eastAsia="仿宋_GB2312"/>
          <w:sz w:val="28"/>
          <w:szCs w:val="28"/>
          <w:lang w:eastAsia="zh-CN"/>
        </w:rPr>
        <w:t>100</w:t>
      </w:r>
      <w:r>
        <w:rPr>
          <w:rFonts w:hint="eastAsia" w:ascii="仿宋_GB2312" w:eastAsia="仿宋_GB2312"/>
          <w:sz w:val="28"/>
          <w:szCs w:val="28"/>
        </w:rPr>
        <w:t>%；项目支出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461.76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13.93</w:t>
      </w:r>
      <w:r>
        <w:rPr>
          <w:rFonts w:hint="eastAsia" w:ascii="仿宋_GB2312" w:eastAsia="仿宋_GB2312"/>
          <w:sz w:val="28"/>
          <w:szCs w:val="28"/>
        </w:rPr>
        <w:t>万元，下降</w:t>
      </w:r>
      <w:r>
        <w:rPr>
          <w:rFonts w:hint="eastAsia" w:ascii="仿宋_GB2312" w:eastAsia="仿宋_GB2312"/>
          <w:sz w:val="28"/>
          <w:szCs w:val="28"/>
          <w:lang w:val="en-US" w:eastAsia="zh-CN"/>
        </w:rPr>
        <w:t>2.93</w:t>
      </w:r>
      <w:r>
        <w:rPr>
          <w:rFonts w:hint="eastAsia" w:ascii="仿宋_GB2312" w:eastAsia="仿宋_GB2312"/>
          <w:sz w:val="28"/>
          <w:szCs w:val="28"/>
        </w:rPr>
        <w:t>%。主要原因：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w:t>
      </w:r>
      <w:r>
        <w:rPr>
          <w:rFonts w:hint="eastAsia" w:ascii="仿宋_GB2312" w:hAnsi="Times New Roman" w:eastAsia="仿宋_GB2312" w:cs="Times New Roman"/>
          <w:sz w:val="28"/>
          <w:szCs w:val="28"/>
        </w:rPr>
        <w:t>算财政拨款支出461.76万元，主要用于以下方面（按大类）：社会保障和就业支出</w:t>
      </w:r>
      <w:r>
        <w:rPr>
          <w:rFonts w:hint="eastAsia" w:ascii="仿宋_GB2312" w:hAnsi="Times New Roman" w:eastAsia="仿宋_GB2312" w:cs="Times New Roman"/>
          <w:sz w:val="28"/>
          <w:szCs w:val="28"/>
          <w:lang w:val="en-US" w:eastAsia="zh-CN"/>
        </w:rPr>
        <w:t>70.04</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15.17</w:t>
      </w:r>
      <w:r>
        <w:rPr>
          <w:rFonts w:hint="eastAsia" w:ascii="仿宋_GB2312" w:hAnsi="Times New Roman" w:eastAsia="仿宋_GB2312" w:cs="Times New Roman"/>
          <w:sz w:val="28"/>
          <w:szCs w:val="28"/>
        </w:rPr>
        <w:t>%；卫生健康支出</w:t>
      </w:r>
      <w:r>
        <w:rPr>
          <w:rFonts w:hint="eastAsia" w:ascii="仿宋_GB2312" w:hAnsi="Times New Roman" w:eastAsia="仿宋_GB2312" w:cs="Times New Roman"/>
          <w:sz w:val="28"/>
          <w:szCs w:val="28"/>
          <w:lang w:val="en-US" w:eastAsia="zh-CN"/>
        </w:rPr>
        <w:t>36.56万元</w:t>
      </w:r>
      <w:r>
        <w:rPr>
          <w:rFonts w:hint="eastAsia" w:ascii="仿宋_GB2312" w:hAnsi="Times New Roman" w:eastAsia="仿宋_GB2312" w:cs="Times New Roman"/>
          <w:sz w:val="28"/>
          <w:szCs w:val="28"/>
        </w:rPr>
        <w:t>，占本年财政拨款支出</w:t>
      </w:r>
      <w:r>
        <w:rPr>
          <w:rFonts w:hint="eastAsia" w:ascii="仿宋_GB2312" w:hAnsi="Times New Roman" w:eastAsia="仿宋_GB2312" w:cs="Times New Roman"/>
          <w:sz w:val="28"/>
          <w:szCs w:val="28"/>
          <w:lang w:val="en-US" w:eastAsia="zh-CN"/>
        </w:rPr>
        <w:t>15.17</w:t>
      </w:r>
      <w:r>
        <w:rPr>
          <w:rFonts w:hint="eastAsia" w:ascii="仿宋_GB2312" w:hAnsi="Times New Roman" w:eastAsia="仿宋_GB2312" w:cs="Times New Roman"/>
          <w:sz w:val="28"/>
          <w:szCs w:val="28"/>
        </w:rPr>
        <w:t>%；城乡社区支出</w:t>
      </w:r>
      <w:r>
        <w:rPr>
          <w:rFonts w:hint="eastAsia" w:ascii="仿宋_GB2312" w:hAnsi="Times New Roman" w:eastAsia="仿宋_GB2312" w:cs="Times New Roman"/>
          <w:sz w:val="28"/>
          <w:szCs w:val="28"/>
          <w:lang w:val="en-US" w:eastAsia="zh-CN"/>
        </w:rPr>
        <w:t>295.93万元,</w:t>
      </w:r>
      <w:r>
        <w:rPr>
          <w:rFonts w:hint="eastAsia" w:ascii="仿宋_GB2312" w:hAnsi="Times New Roman" w:eastAsia="仿宋_GB2312" w:cs="Times New Roman"/>
          <w:sz w:val="28"/>
          <w:szCs w:val="28"/>
        </w:rPr>
        <w:t>占本年财政拨款支出</w:t>
      </w:r>
      <w:r>
        <w:rPr>
          <w:rFonts w:hint="eastAsia" w:ascii="仿宋_GB2312" w:hAnsi="Times New Roman" w:eastAsia="仿宋_GB2312" w:cs="Times New Roman"/>
          <w:sz w:val="28"/>
          <w:szCs w:val="28"/>
          <w:lang w:val="en-US" w:eastAsia="zh-CN"/>
        </w:rPr>
        <w:t>7.92</w:t>
      </w:r>
      <w:r>
        <w:rPr>
          <w:rFonts w:hint="eastAsia" w:ascii="仿宋_GB2312" w:hAnsi="Times New Roman" w:eastAsia="仿宋_GB2312" w:cs="Times New Roman"/>
          <w:sz w:val="28"/>
          <w:szCs w:val="28"/>
        </w:rPr>
        <w:t>%；住房保障支出</w:t>
      </w:r>
      <w:r>
        <w:rPr>
          <w:rFonts w:hint="eastAsia" w:ascii="仿宋_GB2312" w:hAnsi="Times New Roman" w:eastAsia="仿宋_GB2312" w:cs="Times New Roman"/>
          <w:sz w:val="28"/>
          <w:szCs w:val="28"/>
          <w:lang w:val="en-US" w:eastAsia="zh-CN"/>
        </w:rPr>
        <w:t>59.24万元</w:t>
      </w:r>
      <w:r>
        <w:rPr>
          <w:rFonts w:hint="eastAsia" w:ascii="仿宋_GB2312" w:hAnsi="Times New Roman" w:eastAsia="仿宋_GB2312" w:cs="Times New Roman"/>
          <w:sz w:val="28"/>
          <w:szCs w:val="28"/>
        </w:rPr>
        <w:t>，占本年财政拨款支出</w:t>
      </w:r>
      <w:r>
        <w:rPr>
          <w:rFonts w:hint="eastAsia" w:ascii="仿宋_GB2312" w:hAnsi="Times New Roman" w:eastAsia="仿宋_GB2312" w:cs="Times New Roman"/>
          <w:sz w:val="28"/>
          <w:szCs w:val="28"/>
          <w:lang w:val="en-US" w:eastAsia="zh-CN"/>
        </w:rPr>
        <w:t>12.83</w:t>
      </w:r>
      <w:r>
        <w:rPr>
          <w:rFonts w:hint="eastAsia" w:ascii="仿宋_GB2312" w:hAnsi="Times New Roman" w:eastAsia="仿宋_GB2312" w:cs="Times New Roman"/>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1、“社会保障和就业支出”（类）202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70.74</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年度年初预算增加</w:t>
      </w:r>
      <w:r>
        <w:rPr>
          <w:rFonts w:hint="eastAsia" w:ascii="仿宋_GB2312" w:hAnsi="Times New Roman" w:eastAsia="仿宋_GB2312" w:cs="Times New Roman"/>
          <w:sz w:val="28"/>
          <w:szCs w:val="28"/>
          <w:lang w:val="en-US" w:eastAsia="zh-CN"/>
        </w:rPr>
        <w:t>1.84</w:t>
      </w:r>
      <w:r>
        <w:rPr>
          <w:rFonts w:hint="eastAsia" w:ascii="仿宋_GB2312" w:hAnsi="Times New Roman" w:eastAsia="仿宋_GB2312" w:cs="Times New Roman"/>
          <w:sz w:val="28"/>
          <w:szCs w:val="28"/>
        </w:rPr>
        <w:t>万元，增长</w:t>
      </w:r>
      <w:r>
        <w:rPr>
          <w:rFonts w:hint="eastAsia" w:ascii="仿宋_GB2312" w:hAnsi="Times New Roman" w:eastAsia="仿宋_GB2312" w:cs="Times New Roman"/>
          <w:sz w:val="28"/>
          <w:szCs w:val="28"/>
          <w:lang w:val="en-US" w:eastAsia="zh-CN"/>
        </w:rPr>
        <w:t>2.70</w:t>
      </w:r>
      <w:r>
        <w:rPr>
          <w:rFonts w:hint="eastAsia" w:ascii="仿宋_GB2312" w:hAnsi="Times New Roman" w:eastAsia="仿宋_GB2312" w:cs="Times New Roman"/>
          <w:sz w:val="28"/>
          <w:szCs w:val="28"/>
        </w:rPr>
        <w:t>%。其中：</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“行政事业单位养老支出”202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70.74</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年度年初预算增加</w:t>
      </w:r>
      <w:r>
        <w:rPr>
          <w:rFonts w:hint="eastAsia" w:ascii="仿宋_GB2312" w:hAnsi="Times New Roman" w:eastAsia="仿宋_GB2312" w:cs="Times New Roman"/>
          <w:sz w:val="28"/>
          <w:szCs w:val="28"/>
          <w:lang w:val="en-US" w:eastAsia="zh-CN"/>
        </w:rPr>
        <w:t>1.84</w:t>
      </w:r>
      <w:r>
        <w:rPr>
          <w:rFonts w:hint="eastAsia" w:ascii="仿宋_GB2312" w:hAnsi="Times New Roman" w:eastAsia="仿宋_GB2312" w:cs="Times New Roman"/>
          <w:sz w:val="28"/>
          <w:szCs w:val="28"/>
        </w:rPr>
        <w:t>万元，增长</w:t>
      </w:r>
      <w:r>
        <w:rPr>
          <w:rFonts w:hint="eastAsia" w:ascii="仿宋_GB2312" w:hAnsi="Times New Roman" w:eastAsia="仿宋_GB2312" w:cs="Times New Roman"/>
          <w:sz w:val="28"/>
          <w:szCs w:val="28"/>
          <w:lang w:val="en-US" w:eastAsia="zh-CN"/>
        </w:rPr>
        <w:t>2.70</w:t>
      </w:r>
      <w:r>
        <w:rPr>
          <w:rFonts w:hint="eastAsia" w:ascii="仿宋_GB2312" w:hAnsi="Times New Roman" w:eastAsia="仿宋_GB2312" w:cs="Times New Roman"/>
          <w:sz w:val="28"/>
          <w:szCs w:val="28"/>
        </w:rPr>
        <w:t>%。主要原因：</w:t>
      </w:r>
      <w:r>
        <w:rPr>
          <w:rFonts w:hint="eastAsia" w:ascii="仿宋_GB2312" w:hAnsi="Times New Roman" w:eastAsia="仿宋_GB2312" w:cs="Times New Roman"/>
          <w:sz w:val="28"/>
          <w:szCs w:val="28"/>
          <w:lang w:eastAsia="zh-CN"/>
        </w:rPr>
        <w:t>人员增加</w:t>
      </w:r>
      <w:r>
        <w:rPr>
          <w:rFonts w:hint="eastAsia" w:ascii="仿宋_GB2312" w:hAnsi="Times New Roman" w:eastAsia="仿宋_GB2312" w:cs="Times New Roman"/>
          <w:sz w:val="28"/>
          <w:szCs w:val="28"/>
        </w:rPr>
        <w:t>。</w:t>
      </w:r>
    </w:p>
    <w:p>
      <w:pPr>
        <w:tabs>
          <w:tab w:val="center" w:pos="6979"/>
        </w:tabs>
        <w:spacing w:line="580" w:lineRule="exact"/>
        <w:ind w:firstLine="560" w:firstLineChars="200"/>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rPr>
        <w:t>2、“卫生健康支出”(类)202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36.56</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与</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一致</w:t>
      </w:r>
      <w:r>
        <w:rPr>
          <w:rFonts w:hint="eastAsia" w:ascii="仿宋_GB2312" w:hAnsi="Times New Roman" w:eastAsia="仿宋_GB2312" w:cs="Times New Roman"/>
          <w:sz w:val="28"/>
          <w:szCs w:val="28"/>
        </w:rPr>
        <w:t>。其中：</w:t>
      </w:r>
      <w:r>
        <w:rPr>
          <w:rFonts w:hint="eastAsia" w:ascii="仿宋_GB2312" w:hAnsi="Times New Roman" w:eastAsia="仿宋_GB2312" w:cs="Times New Roman"/>
          <w:sz w:val="28"/>
          <w:szCs w:val="28"/>
          <w:lang w:val="en-US" w:eastAsia="zh-CN"/>
        </w:rPr>
        <w:t xml:space="preserve">                         </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“事业单位医疗”202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36.56</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与</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一致</w:t>
      </w:r>
      <w:r>
        <w:rPr>
          <w:rFonts w:hint="eastAsia" w:ascii="仿宋_GB2312" w:hAnsi="Times New Roman" w:eastAsia="仿宋_GB2312" w:cs="Times New Roman"/>
          <w:sz w:val="28"/>
          <w:szCs w:val="28"/>
        </w:rPr>
        <w:t>。</w:t>
      </w:r>
    </w:p>
    <w:p>
      <w:pPr>
        <w:tabs>
          <w:tab w:val="center" w:pos="6979"/>
        </w:tabs>
        <w:spacing w:line="580" w:lineRule="exact"/>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val="en-US" w:eastAsia="zh-CN"/>
        </w:rPr>
        <w:t>3</w:t>
      </w:r>
      <w:r>
        <w:rPr>
          <w:rFonts w:hint="eastAsia" w:ascii="仿宋_GB2312" w:hAnsi="Times New Roman" w:eastAsia="仿宋_GB2312" w:cs="Times New Roman"/>
          <w:sz w:val="28"/>
          <w:szCs w:val="28"/>
        </w:rPr>
        <w:t>、“城乡社区支出”(类)202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295.93</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58.87</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16.6</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CN"/>
        </w:rPr>
        <w:t>。</w:t>
      </w:r>
    </w:p>
    <w:p>
      <w:pPr>
        <w:tabs>
          <w:tab w:val="center" w:pos="6979"/>
        </w:tabs>
        <w:spacing w:line="580" w:lineRule="exact"/>
        <w:ind w:firstLine="560" w:firstLineChars="200"/>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rPr>
        <w:t>其中：</w:t>
      </w:r>
      <w:r>
        <w:rPr>
          <w:rFonts w:hint="eastAsia" w:ascii="仿宋_GB2312" w:hAnsi="Times New Roman" w:eastAsia="仿宋_GB2312" w:cs="Times New Roman"/>
          <w:sz w:val="28"/>
          <w:szCs w:val="28"/>
          <w:lang w:val="en-US" w:eastAsia="zh-CN"/>
        </w:rPr>
        <w:t xml:space="preserve">                         </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“城乡社区管理事务”202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295.93</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58.87</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16.6</w:t>
      </w:r>
      <w:r>
        <w:rPr>
          <w:rFonts w:hint="eastAsia" w:ascii="仿宋_GB2312" w:hAnsi="Times New Roman" w:eastAsia="仿宋_GB2312" w:cs="Times New Roman"/>
          <w:sz w:val="28"/>
          <w:szCs w:val="28"/>
        </w:rPr>
        <w:t>%。主要原因：</w:t>
      </w:r>
      <w:r>
        <w:rPr>
          <w:rFonts w:hint="eastAsia" w:ascii="仿宋_GB2312" w:hAnsi="Times New Roman" w:eastAsia="仿宋_GB2312" w:cs="Times New Roman"/>
          <w:sz w:val="28"/>
          <w:szCs w:val="28"/>
          <w:lang w:eastAsia="zh-CN"/>
        </w:rPr>
        <w:t>严格落实过紧日子原则，缩减预算支出</w:t>
      </w:r>
      <w:r>
        <w:rPr>
          <w:rFonts w:hint="eastAsia" w:ascii="仿宋_GB2312" w:hAnsi="Times New Roman" w:eastAsia="仿宋_GB2312" w:cs="Times New Roman"/>
          <w:sz w:val="28"/>
          <w:szCs w:val="28"/>
        </w:rPr>
        <w:t>。</w:t>
      </w:r>
    </w:p>
    <w:p>
      <w:pPr>
        <w:tabs>
          <w:tab w:val="center" w:pos="6979"/>
        </w:tabs>
        <w:spacing w:line="580" w:lineRule="exact"/>
        <w:ind w:firstLine="560" w:firstLineChars="200"/>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、“住房保障支出”(类)202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59.24</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与</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一致</w:t>
      </w:r>
      <w:r>
        <w:rPr>
          <w:rFonts w:hint="eastAsia" w:ascii="仿宋_GB2312" w:hAnsi="Times New Roman" w:eastAsia="仿宋_GB2312" w:cs="Times New Roman"/>
          <w:sz w:val="28"/>
          <w:szCs w:val="28"/>
        </w:rPr>
        <w:t>。其中：</w:t>
      </w:r>
      <w:r>
        <w:rPr>
          <w:rFonts w:hint="eastAsia" w:ascii="仿宋_GB2312" w:hAnsi="Times New Roman" w:eastAsia="仿宋_GB2312" w:cs="Times New Roman"/>
          <w:sz w:val="28"/>
          <w:szCs w:val="28"/>
          <w:lang w:val="en-US" w:eastAsia="zh-CN"/>
        </w:rPr>
        <w:t xml:space="preserve">                         </w:t>
      </w:r>
    </w:p>
    <w:p>
      <w:pPr>
        <w:spacing w:line="580" w:lineRule="exact"/>
        <w:ind w:firstLine="560" w:firstLineChars="200"/>
        <w:rPr>
          <w:rFonts w:ascii="仿宋_GB2312" w:eastAsia="仿宋_GB2312"/>
          <w:sz w:val="28"/>
          <w:szCs w:val="28"/>
        </w:rPr>
      </w:pPr>
      <w:r>
        <w:rPr>
          <w:rFonts w:hint="eastAsia" w:ascii="仿宋_GB2312" w:hAnsi="Times New Roman" w:eastAsia="仿宋_GB2312" w:cs="Times New Roman"/>
          <w:sz w:val="28"/>
          <w:szCs w:val="28"/>
        </w:rPr>
        <w:t>“住房改革支出”202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59.24</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与</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一致</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ascii="仿宋_GB2312" w:eastAsia="仿宋_GB2312"/>
          <w:sz w:val="28"/>
          <w:szCs w:val="28"/>
        </w:rPr>
      </w:pPr>
      <w:r>
        <w:rPr>
          <w:rFonts w:hint="eastAsia" w:ascii="仿宋_GB2312" w:hAnsi="Times New Roman" w:eastAsia="仿宋_GB2312" w:cs="Times New Roman"/>
          <w:sz w:val="28"/>
          <w:szCs w:val="28"/>
          <w:lang w:eastAsia="zh-CN"/>
        </w:rPr>
        <w:t>不涉及</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461.76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“三公”经费包括本部门/单位所属</w:t>
      </w:r>
      <w:r>
        <w:rPr>
          <w:rFonts w:hint="eastAsia" w:ascii="仿宋_GB2312" w:eastAsia="仿宋_GB2312"/>
          <w:bCs/>
          <w:sz w:val="28"/>
          <w:szCs w:val="28"/>
          <w:lang w:val="en-US" w:eastAsia="zh-CN"/>
        </w:rPr>
        <w:t>0</w:t>
      </w:r>
      <w:r>
        <w:rPr>
          <w:rFonts w:hint="eastAsia" w:ascii="仿宋_GB2312" w:eastAsia="仿宋_GB2312"/>
          <w:sz w:val="28"/>
          <w:szCs w:val="28"/>
        </w:rPr>
        <w:t>个行政单位、</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事业单位。</w:t>
      </w: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0.17</w:t>
      </w:r>
      <w:r>
        <w:rPr>
          <w:rFonts w:hint="eastAsia" w:ascii="仿宋_GB2312" w:eastAsia="仿宋_GB2312"/>
          <w:sz w:val="28"/>
          <w:szCs w:val="28"/>
        </w:rPr>
        <w:t>万元减少</w:t>
      </w:r>
      <w:r>
        <w:rPr>
          <w:rFonts w:ascii="仿宋_GB2312" w:eastAsia="仿宋_GB2312"/>
          <w:sz w:val="28"/>
          <w:szCs w:val="28"/>
        </w:rPr>
        <w:t>0.17</w:t>
      </w:r>
      <w:r>
        <w:rPr>
          <w:rFonts w:hint="eastAsia" w:ascii="仿宋_GB2312" w:eastAsia="仿宋_GB2312"/>
          <w:sz w:val="28"/>
          <w:szCs w:val="28"/>
        </w:rPr>
        <w:t>万元。</w:t>
      </w:r>
      <w:r>
        <w:rPr>
          <w:rFonts w:hint="eastAsia" w:ascii="仿宋_GB2312" w:eastAsia="仿宋_GB2312"/>
          <w:sz w:val="28"/>
          <w:szCs w:val="28"/>
          <w:lang w:eastAsia="zh-CN"/>
        </w:rPr>
        <w:t>本年无支出。</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年度使用财政拨款安排的基本支出中的日常公用经费支出，合计</w:t>
      </w:r>
      <w:r>
        <w:rPr>
          <w:rFonts w:hint="eastAsia" w:ascii="仿宋_GB2312" w:eastAsia="仿宋_GB2312"/>
          <w:sz w:val="28"/>
          <w:szCs w:val="28"/>
          <w:lang w:val="en-US" w:eastAsia="zh-CN"/>
        </w:rPr>
        <w:t>8.61</w:t>
      </w:r>
      <w:r>
        <w:rPr>
          <w:rFonts w:hint="eastAsia" w:ascii="仿宋_GB2312" w:eastAsia="仿宋_GB2312"/>
          <w:sz w:val="28"/>
          <w:szCs w:val="28"/>
        </w:rPr>
        <w:t>万元，比上年减少</w:t>
      </w:r>
      <w:r>
        <w:rPr>
          <w:rFonts w:hint="eastAsia" w:ascii="仿宋_GB2312" w:eastAsia="仿宋_GB2312"/>
          <w:sz w:val="28"/>
          <w:szCs w:val="28"/>
          <w:lang w:val="en-US" w:eastAsia="zh-CN"/>
        </w:rPr>
        <w:t>1.5</w:t>
      </w:r>
      <w:r>
        <w:rPr>
          <w:rFonts w:hint="eastAsia" w:ascii="仿宋_GB2312" w:eastAsia="仿宋_GB2312"/>
          <w:sz w:val="28"/>
          <w:szCs w:val="28"/>
        </w:rPr>
        <w:t>万元，减少原因：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12月31日，北京市西城区交通综合治理中心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keepNext w:val="0"/>
        <w:keepLines w:val="0"/>
        <w:widowControl w:val="0"/>
        <w:numPr>
          <w:ilvl w:val="0"/>
          <w:numId w:val="1"/>
        </w:numPr>
        <w:suppressLineNumbers w:val="0"/>
        <w:autoSpaceDE w:val="0"/>
        <w:autoSpaceDN/>
        <w:ind w:left="630" w:leftChars="0" w:right="0" w:rightChars="0" w:firstLine="0" w:firstLineChars="0"/>
        <w:jc w:val="left"/>
        <w:rPr>
          <w:rFonts w:hint="default" w:ascii="Times New Roman" w:hAnsi="Times New Roman" w:eastAsia="宋体" w:cs="Times New Roman"/>
          <w:kern w:val="2"/>
          <w:sz w:val="32"/>
          <w:szCs w:val="32"/>
        </w:rPr>
      </w:pPr>
      <w:r>
        <w:rPr>
          <w:rFonts w:hint="eastAsia" w:ascii="黑体" w:eastAsia="黑体"/>
          <w:sz w:val="28"/>
          <w:szCs w:val="28"/>
          <w:highlight w:val="none"/>
        </w:rPr>
        <w:t>部门整体绩效评价报告</w:t>
      </w:r>
    </w:p>
    <w:p>
      <w:pPr>
        <w:keepNext w:val="0"/>
        <w:keepLines w:val="0"/>
        <w:widowControl w:val="0"/>
        <w:numPr>
          <w:ilvl w:val="0"/>
          <w:numId w:val="0"/>
        </w:numPr>
        <w:suppressLineNumbers w:val="0"/>
        <w:tabs>
          <w:tab w:val="left" w:pos="0"/>
        </w:tabs>
        <w:autoSpaceDE w:val="0"/>
        <w:autoSpaceDN/>
        <w:ind w:left="630" w:leftChars="0"/>
        <w:jc w:val="left"/>
        <w:rPr>
          <w:rFonts w:hint="eastAsia" w:ascii="楷体" w:hAnsi="楷体" w:eastAsia="楷体" w:cs="楷体"/>
          <w:b/>
          <w:kern w:val="2"/>
          <w:sz w:val="30"/>
          <w:szCs w:val="30"/>
        </w:rPr>
      </w:pPr>
      <w:r>
        <w:rPr>
          <w:rStyle w:val="21"/>
          <w:rFonts w:hint="eastAsia" w:ascii="楷体" w:hAnsi="楷体" w:eastAsia="楷体" w:cs="楷体"/>
          <w:b/>
          <w:sz w:val="30"/>
          <w:szCs w:val="30"/>
        </w:rPr>
        <w:t xml:space="preserve">全年业务开展情况和具体做法 </w:t>
      </w:r>
    </w:p>
    <w:p>
      <w:pPr>
        <w:keepNext w:val="0"/>
        <w:keepLines w:val="0"/>
        <w:widowControl w:val="0"/>
        <w:numPr>
          <w:numId w:val="0"/>
        </w:numPr>
        <w:suppressLineNumbers w:val="0"/>
        <w:tabs>
          <w:tab w:val="left" w:pos="0"/>
        </w:tabs>
        <w:autoSpaceDE w:val="0"/>
        <w:autoSpaceDN/>
        <w:ind w:left="630" w:leftChars="0" w:right="0" w:rightChars="0"/>
        <w:jc w:val="left"/>
        <w:rPr>
          <w:rFonts w:hint="default" w:ascii="Times New Roman" w:hAnsi="Times New Roman" w:eastAsia="宋体" w:cs="Times New Roman"/>
          <w:kern w:val="2"/>
          <w:sz w:val="32"/>
          <w:szCs w:val="32"/>
        </w:rPr>
      </w:pPr>
      <w:r>
        <w:rPr>
          <w:rStyle w:val="20"/>
          <w:rFonts w:hint="eastAsia" w:ascii="楷体" w:hAnsi="楷体" w:eastAsia="楷体" w:cs="楷体"/>
          <w:sz w:val="32"/>
          <w:szCs w:val="32"/>
          <w:lang w:val="en-US" w:eastAsia="zh-CN"/>
        </w:rPr>
        <w:t>(一）</w:t>
      </w:r>
      <w:r>
        <w:rPr>
          <w:rStyle w:val="20"/>
          <w:rFonts w:hint="eastAsia" w:ascii="楷体" w:hAnsi="楷体" w:eastAsia="楷体" w:cs="楷体"/>
          <w:sz w:val="32"/>
          <w:szCs w:val="32"/>
        </w:rPr>
        <w:t xml:space="preserve">建筑垃圾运输管理工作开展情况 </w:t>
      </w:r>
    </w:p>
    <w:p>
      <w:pPr>
        <w:keepNext w:val="0"/>
        <w:keepLines w:val="0"/>
        <w:widowControl w:val="0"/>
        <w:suppressLineNumbers w:val="0"/>
        <w:autoSpaceDE w:val="0"/>
        <w:autoSpaceDN/>
        <w:ind w:left="0" w:right="0" w:rightChars="0" w:firstLine="600" w:firstLineChars="200"/>
        <w:jc w:val="left"/>
        <w:rPr>
          <w:rFonts w:hint="default" w:ascii="Times New Roman" w:hAnsi="Times New Roman" w:eastAsia="宋体" w:cs="Times New Roman"/>
          <w:kern w:val="2"/>
          <w:sz w:val="21"/>
          <w:szCs w:val="21"/>
        </w:rPr>
      </w:pPr>
      <w:r>
        <w:rPr>
          <w:rStyle w:val="20"/>
          <w:rFonts w:hint="eastAsia" w:ascii="楷体" w:hAnsi="楷体" w:eastAsia="楷体" w:cs="楷体"/>
          <w:sz w:val="30"/>
          <w:szCs w:val="30"/>
        </w:rPr>
        <w:t>1、</w:t>
      </w:r>
      <w:r>
        <w:rPr>
          <w:rStyle w:val="20"/>
          <w:rFonts w:hint="eastAsia" w:ascii="仿宋_GB2312" w:eastAsia="仿宋_GB2312" w:cs="仿宋_GB2312"/>
          <w:sz w:val="30"/>
          <w:szCs w:val="30"/>
        </w:rPr>
        <w:t>多措并举加大备案工程建筑垃圾运输监管力度。采取人工现场检查与电子视频远程检查相结合的方式，充分利用电子视频监控、扬尘系统平台、车辆运输轨迹抽查、电子运单核实等多种科技手段对辖区备案工程开展检查。</w:t>
      </w:r>
    </w:p>
    <w:p>
      <w:pPr>
        <w:keepNext w:val="0"/>
        <w:keepLines w:val="0"/>
        <w:widowControl w:val="0"/>
        <w:suppressLineNumbers w:val="0"/>
        <w:autoSpaceDE w:val="0"/>
        <w:autoSpaceDN/>
        <w:ind w:left="0" w:right="0" w:rightChars="0" w:firstLine="600"/>
        <w:jc w:val="left"/>
        <w:rPr>
          <w:rFonts w:hint="eastAsia" w:ascii="仿宋_GB2312" w:hAnsi="Times New Roman" w:eastAsia="仿宋_GB2312" w:cs="仿宋_GB2312"/>
          <w:kern w:val="2"/>
          <w:sz w:val="30"/>
          <w:szCs w:val="30"/>
        </w:rPr>
      </w:pPr>
      <w:r>
        <w:rPr>
          <w:rStyle w:val="20"/>
          <w:rFonts w:hint="eastAsia" w:ascii="仿宋_GB2312" w:eastAsia="仿宋_GB2312" w:cs="仿宋_GB2312"/>
          <w:sz w:val="30"/>
          <w:szCs w:val="30"/>
        </w:rPr>
        <w:t xml:space="preserve">2、有效对接处置场所切实加强末端监管。中心对接收西城区建筑垃圾的处置场所提出规范处置要求，按月进行考核评价，定期对处置场所进行实地检查。   </w:t>
      </w:r>
    </w:p>
    <w:p>
      <w:pPr>
        <w:keepNext w:val="0"/>
        <w:keepLines w:val="0"/>
        <w:widowControl w:val="0"/>
        <w:suppressLineNumbers w:val="0"/>
        <w:autoSpaceDE w:val="0"/>
        <w:autoSpaceDN/>
        <w:ind w:left="0" w:right="0" w:rightChars="0" w:firstLine="600"/>
        <w:jc w:val="left"/>
        <w:rPr>
          <w:rFonts w:hint="eastAsia" w:ascii="仿宋_GB2312" w:hAnsi="Times New Roman" w:eastAsia="仿宋_GB2312" w:cs="仿宋_GB2312"/>
          <w:kern w:val="2"/>
          <w:sz w:val="30"/>
          <w:szCs w:val="30"/>
        </w:rPr>
      </w:pPr>
      <w:r>
        <w:rPr>
          <w:rStyle w:val="20"/>
          <w:rFonts w:hint="eastAsia" w:ascii="仿宋_GB2312" w:eastAsia="仿宋_GB2312" w:cs="仿宋_GB2312"/>
          <w:sz w:val="30"/>
          <w:szCs w:val="30"/>
        </w:rPr>
        <w:t>3、充分发挥联动效应，建立多部门信息共享机制。中心建立西城区建筑垃圾多部门信息共享联动机制，与生态、住建、交通、公安等部门及各</w:t>
      </w:r>
      <w:r>
        <w:rPr>
          <w:rStyle w:val="21"/>
          <w:rFonts w:hint="eastAsia" w:ascii="仿宋_GB2312" w:eastAsia="仿宋_GB2312" w:cs="仿宋_GB2312"/>
          <w:sz w:val="30"/>
          <w:szCs w:val="30"/>
        </w:rPr>
        <w:t>街道沟通协调，针对建筑垃圾运输开展检查。。</w:t>
      </w:r>
    </w:p>
    <w:p>
      <w:pPr>
        <w:keepNext w:val="0"/>
        <w:keepLines w:val="0"/>
        <w:widowControl w:val="0"/>
        <w:suppressLineNumbers w:val="0"/>
        <w:autoSpaceDE w:val="0"/>
        <w:autoSpaceDN/>
        <w:ind w:left="0" w:right="0" w:rightChars="0" w:firstLine="600"/>
        <w:jc w:val="left"/>
        <w:rPr>
          <w:rFonts w:hint="eastAsia" w:ascii="仿宋_GB2312" w:hAnsi="Times New Roman" w:eastAsia="仿宋_GB2312" w:cs="仿宋_GB2312"/>
          <w:kern w:val="2"/>
          <w:sz w:val="30"/>
          <w:szCs w:val="30"/>
        </w:rPr>
      </w:pPr>
      <w:r>
        <w:rPr>
          <w:rStyle w:val="21"/>
          <w:rFonts w:hint="eastAsia" w:ascii="仿宋_GB2312" w:eastAsia="仿宋_GB2312" w:cs="仿宋_GB2312"/>
          <w:sz w:val="30"/>
          <w:szCs w:val="30"/>
        </w:rPr>
        <w:t xml:space="preserve">4、坚持问题导向及时处置道路遗撒问题。 </w:t>
      </w:r>
    </w:p>
    <w:p>
      <w:pPr>
        <w:keepNext w:val="0"/>
        <w:keepLines w:val="0"/>
        <w:widowControl w:val="0"/>
        <w:suppressLineNumbers w:val="0"/>
        <w:autoSpaceDE w:val="0"/>
        <w:autoSpaceDN/>
        <w:ind w:left="0" w:right="0" w:rightChars="0" w:firstLine="600"/>
        <w:jc w:val="left"/>
        <w:rPr>
          <w:rStyle w:val="21"/>
          <w:rFonts w:hint="eastAsia" w:ascii="仿宋_GB2312" w:eastAsia="仿宋_GB2312" w:cs="仿宋_GB2312"/>
          <w:sz w:val="30"/>
          <w:szCs w:val="30"/>
        </w:rPr>
      </w:pPr>
      <w:r>
        <w:rPr>
          <w:rStyle w:val="21"/>
          <w:rFonts w:hint="eastAsia" w:ascii="仿宋_GB2312" w:eastAsia="仿宋_GB2312" w:cs="仿宋_GB2312"/>
          <w:sz w:val="30"/>
          <w:szCs w:val="30"/>
        </w:rPr>
        <w:t>5、引入智能管理推进装修垃圾智能收集箱试点应用。根据市城管委要求部署，大力推进装修垃圾智能收集箱试点应用，减少贮存点扬尘。</w:t>
      </w:r>
    </w:p>
    <w:p>
      <w:pPr>
        <w:keepNext w:val="0"/>
        <w:keepLines w:val="0"/>
        <w:widowControl w:val="0"/>
        <w:suppressLineNumbers w:val="0"/>
        <w:autoSpaceDE w:val="0"/>
        <w:autoSpaceDN/>
        <w:ind w:left="0" w:right="0" w:rightChars="0" w:firstLine="600"/>
        <w:jc w:val="left"/>
        <w:rPr>
          <w:rFonts w:hint="eastAsia" w:ascii="仿宋_GB2312" w:hAnsi="Times New Roman" w:eastAsia="仿宋_GB2312" w:cs="仿宋_GB2312"/>
          <w:kern w:val="2"/>
          <w:sz w:val="30"/>
          <w:szCs w:val="30"/>
        </w:rPr>
      </w:pPr>
      <w:r>
        <w:rPr>
          <w:rStyle w:val="21"/>
          <w:rFonts w:hint="eastAsia" w:ascii="仿宋_GB2312" w:eastAsia="仿宋_GB2312" w:cs="仿宋_GB2312"/>
          <w:sz w:val="30"/>
          <w:szCs w:val="30"/>
        </w:rPr>
        <w:t>6、积极开展居住区装修垃圾专项检查。主要类型为违规设立装修垃圾临时贮存点、装修垃圾与生活垃圾混堆混放、装修垃圾超五日未清运、未按照规定使用电子运单等。</w:t>
      </w:r>
    </w:p>
    <w:p>
      <w:pPr>
        <w:keepNext w:val="0"/>
        <w:keepLines w:val="0"/>
        <w:widowControl w:val="0"/>
        <w:suppressLineNumbers w:val="0"/>
        <w:autoSpaceDE w:val="0"/>
        <w:autoSpaceDN/>
        <w:ind w:left="0" w:right="0" w:rightChars="0" w:firstLine="320" w:firstLineChars="100"/>
        <w:jc w:val="left"/>
        <w:rPr>
          <w:rFonts w:hint="eastAsia" w:ascii="仿宋_GB2312" w:hAnsi="Times New Roman" w:eastAsia="仿宋_GB2312" w:cs="仿宋_GB2312"/>
          <w:kern w:val="2"/>
          <w:sz w:val="30"/>
          <w:szCs w:val="30"/>
        </w:rPr>
      </w:pPr>
      <w:r>
        <w:rPr>
          <w:rStyle w:val="20"/>
          <w:rFonts w:hint="eastAsia" w:ascii="楷体" w:hAnsi="楷体" w:eastAsia="楷体" w:cs="楷体"/>
          <w:sz w:val="32"/>
          <w:szCs w:val="32"/>
        </w:rPr>
        <w:t xml:space="preserve">（二）市政市容精细化巡查工作开展情况 </w:t>
      </w:r>
    </w:p>
    <w:p>
      <w:pPr>
        <w:keepNext w:val="0"/>
        <w:keepLines w:val="0"/>
        <w:widowControl w:val="0"/>
        <w:suppressLineNumbers w:val="0"/>
        <w:autoSpaceDE w:val="0"/>
        <w:autoSpaceDN/>
        <w:ind w:left="0" w:right="0" w:rightChars="0" w:firstLine="600"/>
        <w:jc w:val="left"/>
        <w:rPr>
          <w:rFonts w:hint="eastAsia" w:ascii="仿宋_GB2312" w:eastAsia="仿宋_GB2312" w:cs="仿宋_GB2312"/>
          <w:sz w:val="30"/>
          <w:szCs w:val="30"/>
        </w:rPr>
      </w:pPr>
      <w:r>
        <w:rPr>
          <w:rStyle w:val="21"/>
          <w:rFonts w:hint="eastAsia" w:ascii="仿宋_GB2312" w:eastAsia="仿宋_GB2312" w:cs="仿宋_GB2312"/>
          <w:sz w:val="30"/>
          <w:szCs w:val="30"/>
        </w:rPr>
        <w:t>采取人工巡检及视频监控相结合的检查方式，发现各类城市管理问题。</w:t>
      </w:r>
    </w:p>
    <w:p>
      <w:pPr>
        <w:ind w:firstLine="600" w:firstLineChars="200"/>
        <w:rPr>
          <w:rFonts w:hint="eastAsia" w:ascii="黑体" w:eastAsia="黑体"/>
          <w:sz w:val="28"/>
          <w:szCs w:val="28"/>
          <w:lang w:eastAsia="zh-CN"/>
        </w:rPr>
      </w:pPr>
      <w:r>
        <w:rPr>
          <w:rStyle w:val="21"/>
          <w:rFonts w:hint="eastAsia" w:ascii="仿宋_GB2312" w:eastAsia="仿宋_GB2312" w:cs="仿宋_GB2312"/>
          <w:sz w:val="30"/>
          <w:szCs w:val="30"/>
        </w:rPr>
        <w:t>为有效解决城市管理中存在的顽瘴痼疾，显著提升城市环境品质与居民生活质量，同时结合每月重点工作及季节性特点，在2024年共计开展“堆物堆料”“废物箱满冒或周边不洁”“城市家具”等专项检查，精准治理了背街小巷的卫生死角、城市家具的失修状态、垃圾堆积与占道经营等乱象，有效提升了城市环境精细化管理水平。</w:t>
      </w:r>
      <w:bookmarkStart w:id="0" w:name="_GoBack"/>
      <w:bookmarkEnd w:id="0"/>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46357"/>
    <w:multiLevelType w:val="multilevel"/>
    <w:tmpl w:val="4B646357"/>
    <w:lvl w:ilvl="0" w:tentative="0">
      <w:start w:val="1"/>
      <w:numFmt w:val="chineseCounting"/>
      <w:suff w:val="nothing"/>
      <w:lvlText w:val="（%1）"/>
      <w:lvlJc w:val="left"/>
      <w:pPr>
        <w:tabs>
          <w:tab w:val="left" w:pos="0"/>
        </w:tabs>
        <w:ind w:left="630" w:firstLine="0"/>
      </w:pPr>
      <w:rPr>
        <w:rFonts w:hint="eastAsia" w:ascii="宋体" w:hAnsi="宋体" w:eastAsia="宋体" w:cs="宋体"/>
      </w:rPr>
    </w:lvl>
    <w:lvl w:ilvl="1" w:tentative="0">
      <w:start w:val="1"/>
      <w:numFmt w:val="decimal"/>
      <w:lvlText w:val="%2."/>
      <w:lvlJc w:val="left"/>
      <w:pPr>
        <w:tabs>
          <w:tab w:val="left" w:pos="1440"/>
        </w:tabs>
        <w:ind w:left="1620" w:hanging="360"/>
      </w:pPr>
      <w:rPr>
        <w:rFonts w:hint="default" w:ascii="Times New Roman" w:hAnsi="Times New Roman" w:cs="Times New Roman"/>
      </w:rPr>
    </w:lvl>
    <w:lvl w:ilvl="2" w:tentative="0">
      <w:start w:val="1"/>
      <w:numFmt w:val="decimal"/>
      <w:lvlText w:val="%3."/>
      <w:lvlJc w:val="left"/>
      <w:pPr>
        <w:tabs>
          <w:tab w:val="left" w:pos="2160"/>
        </w:tabs>
        <w:ind w:left="2340" w:hanging="360"/>
      </w:pPr>
      <w:rPr>
        <w:rFonts w:hint="default" w:ascii="Times New Roman" w:hAnsi="Times New Roman" w:cs="Times New Roman"/>
      </w:rPr>
    </w:lvl>
    <w:lvl w:ilvl="3" w:tentative="0">
      <w:start w:val="1"/>
      <w:numFmt w:val="decimal"/>
      <w:lvlText w:val="%4."/>
      <w:lvlJc w:val="left"/>
      <w:pPr>
        <w:tabs>
          <w:tab w:val="left" w:pos="2880"/>
        </w:tabs>
        <w:ind w:left="3060" w:hanging="360"/>
      </w:pPr>
      <w:rPr>
        <w:rFonts w:hint="default" w:ascii="Times New Roman" w:hAnsi="Times New Roman" w:cs="Times New Roman"/>
      </w:rPr>
    </w:lvl>
    <w:lvl w:ilvl="4" w:tentative="0">
      <w:start w:val="1"/>
      <w:numFmt w:val="decimal"/>
      <w:lvlText w:val="%5."/>
      <w:lvlJc w:val="left"/>
      <w:pPr>
        <w:tabs>
          <w:tab w:val="left" w:pos="3600"/>
        </w:tabs>
        <w:ind w:left="3780" w:hanging="360"/>
      </w:pPr>
      <w:rPr>
        <w:rFonts w:hint="default" w:ascii="Times New Roman" w:hAnsi="Times New Roman" w:cs="Times New Roman"/>
      </w:rPr>
    </w:lvl>
    <w:lvl w:ilvl="5" w:tentative="0">
      <w:start w:val="1"/>
      <w:numFmt w:val="decimal"/>
      <w:lvlText w:val="%6."/>
      <w:lvlJc w:val="left"/>
      <w:pPr>
        <w:tabs>
          <w:tab w:val="left" w:pos="4320"/>
        </w:tabs>
        <w:ind w:left="4500" w:hanging="360"/>
      </w:pPr>
      <w:rPr>
        <w:rFonts w:hint="default" w:ascii="Times New Roman" w:hAnsi="Times New Roman" w:cs="Times New Roman"/>
      </w:rPr>
    </w:lvl>
    <w:lvl w:ilvl="6" w:tentative="0">
      <w:start w:val="1"/>
      <w:numFmt w:val="decimal"/>
      <w:lvlText w:val="%7."/>
      <w:lvlJc w:val="left"/>
      <w:pPr>
        <w:tabs>
          <w:tab w:val="left" w:pos="5040"/>
        </w:tabs>
        <w:ind w:left="5220" w:hanging="360"/>
      </w:pPr>
      <w:rPr>
        <w:rFonts w:hint="default" w:ascii="Times New Roman" w:hAnsi="Times New Roman" w:cs="Times New Roman"/>
      </w:rPr>
    </w:lvl>
    <w:lvl w:ilvl="7" w:tentative="0">
      <w:start w:val="1"/>
      <w:numFmt w:val="decimal"/>
      <w:lvlText w:val="%8."/>
      <w:lvlJc w:val="left"/>
      <w:pPr>
        <w:tabs>
          <w:tab w:val="left" w:pos="5760"/>
        </w:tabs>
        <w:ind w:left="5940" w:hanging="360"/>
      </w:pPr>
      <w:rPr>
        <w:rFonts w:hint="default" w:ascii="Times New Roman" w:hAnsi="Times New Roman" w:cs="Times New Roman"/>
      </w:rPr>
    </w:lvl>
    <w:lvl w:ilvl="8" w:tentative="0">
      <w:start w:val="1"/>
      <w:numFmt w:val="decimal"/>
      <w:lvlText w:val="%9."/>
      <w:lvlJc w:val="left"/>
      <w:pPr>
        <w:tabs>
          <w:tab w:val="left" w:pos="6480"/>
        </w:tabs>
        <w:ind w:left="6660" w:hanging="360"/>
      </w:pPr>
      <w:rPr>
        <w:rFonts w:hint="default" w:ascii="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EF20B0"/>
    <w:rsid w:val="214243FA"/>
    <w:rsid w:val="21AD613C"/>
    <w:rsid w:val="22467189"/>
    <w:rsid w:val="257A14F5"/>
    <w:rsid w:val="27196C26"/>
    <w:rsid w:val="29EF086F"/>
    <w:rsid w:val="2EFFE297"/>
    <w:rsid w:val="301437CA"/>
    <w:rsid w:val="349D1F0A"/>
    <w:rsid w:val="34DD0473"/>
    <w:rsid w:val="3C684897"/>
    <w:rsid w:val="433E495C"/>
    <w:rsid w:val="489F2FD7"/>
    <w:rsid w:val="4AC27CB3"/>
    <w:rsid w:val="4BF72BEF"/>
    <w:rsid w:val="4FA90297"/>
    <w:rsid w:val="4FC41A43"/>
    <w:rsid w:val="51DB3C59"/>
    <w:rsid w:val="550C0952"/>
    <w:rsid w:val="55762E42"/>
    <w:rsid w:val="57A47F57"/>
    <w:rsid w:val="57A7B272"/>
    <w:rsid w:val="58470068"/>
    <w:rsid w:val="58747CAC"/>
    <w:rsid w:val="5A1720F9"/>
    <w:rsid w:val="5B9C37C2"/>
    <w:rsid w:val="5BA7C654"/>
    <w:rsid w:val="60A54109"/>
    <w:rsid w:val="61D01CDF"/>
    <w:rsid w:val="64C0607C"/>
    <w:rsid w:val="65756C86"/>
    <w:rsid w:val="674D385B"/>
    <w:rsid w:val="676F09E1"/>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character" w:customStyle="1" w:styleId="20">
    <w:name w:val="16"/>
    <w:basedOn w:val="11"/>
    <w:qFormat/>
    <w:uiPriority w:val="0"/>
    <w:rPr>
      <w:rFonts w:hint="eastAsia" w:ascii="Times New Roman" w:eastAsia="楷体_GB2312" w:cs="楷体_GB2312"/>
      <w:sz w:val="32"/>
      <w:szCs w:val="32"/>
    </w:rPr>
  </w:style>
  <w:style w:type="character" w:customStyle="1" w:styleId="21">
    <w:name w:val="19"/>
    <w:basedOn w:val="11"/>
    <w:qFormat/>
    <w:uiPriority w:val="0"/>
    <w:rPr>
      <w:rFonts w:hint="eastAsia" w:ascii="Times New Roman" w:eastAsia="楷体_GB2312" w:cs="楷体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3432</Words>
  <Characters>5781</Characters>
  <Lines>44</Lines>
  <Paragraphs>12</Paragraphs>
  <TotalTime>2</TotalTime>
  <ScaleCrop>false</ScaleCrop>
  <LinksUpToDate>false</LinksUpToDate>
  <CharactersWithSpaces>5802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cp:lastModifiedBy>
  <cp:lastPrinted>2020-08-07T11:39:00Z</cp:lastPrinted>
  <dcterms:modified xsi:type="dcterms:W3CDTF">2025-08-27T08:10:16Z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