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一、部门/单位基本情况</w:t>
      </w:r>
      <w:r>
        <w:rPr>
          <w:rFonts w:hint="eastAsia" w:ascii="仿宋_GB2312" w:eastAsia="仿宋_GB2312"/>
          <w:sz w:val="28"/>
          <w:szCs w:val="28"/>
        </w:rPr>
        <w:t>（比照</w:t>
      </w:r>
      <w:r>
        <w:rPr>
          <w:rFonts w:ascii="仿宋_GB2312" w:eastAsia="仿宋_GB2312"/>
          <w:sz w:val="28"/>
          <w:szCs w:val="28"/>
        </w:rPr>
        <w:t>预算公开</w:t>
      </w:r>
      <w:r>
        <w:rPr>
          <w:rFonts w:hint="eastAsia" w:ascii="仿宋_GB2312" w:eastAsia="仿宋_GB2312"/>
          <w:sz w:val="28"/>
          <w:szCs w:val="28"/>
        </w:rPr>
        <w:t>的内容</w:t>
      </w:r>
      <w:r>
        <w:rPr>
          <w:rFonts w:ascii="仿宋_GB2312" w:eastAsia="仿宋_GB2312"/>
          <w:sz w:val="28"/>
          <w:szCs w:val="28"/>
        </w:rPr>
        <w:t>格式）</w:t>
      </w:r>
    </w:p>
    <w:p>
      <w:pPr>
        <w:snapToGrid w:val="0"/>
        <w:spacing w:line="520" w:lineRule="exact"/>
        <w:ind w:firstLine="560" w:firstLineChars="200"/>
        <w:rPr>
          <w:rFonts w:hint="eastAsia" w:ascii="仿宋_GB2312" w:hAnsi="仿宋" w:eastAsia="仿宋_GB2312"/>
          <w:sz w:val="32"/>
          <w:szCs w:val="32"/>
        </w:rPr>
      </w:pPr>
      <w:r>
        <w:rPr>
          <w:rFonts w:hint="eastAsia" w:ascii="仿宋_GB2312" w:eastAsia="仿宋_GB2312"/>
          <w:sz w:val="28"/>
          <w:szCs w:val="28"/>
        </w:rPr>
        <w:t>机构</w:t>
      </w:r>
      <w:r>
        <w:rPr>
          <w:rFonts w:ascii="仿宋_GB2312" w:eastAsia="仿宋_GB2312"/>
          <w:sz w:val="28"/>
          <w:szCs w:val="28"/>
        </w:rPr>
        <w:t>设置、</w:t>
      </w:r>
      <w:r>
        <w:rPr>
          <w:rFonts w:hint="eastAsia" w:ascii="仿宋_GB2312" w:eastAsia="仿宋_GB2312"/>
          <w:sz w:val="28"/>
          <w:szCs w:val="28"/>
        </w:rPr>
        <w:t>职责</w:t>
      </w:r>
      <w:r>
        <w:rPr>
          <w:rFonts w:hint="eastAsia" w:ascii="仿宋_GB2312" w:eastAsia="仿宋_GB2312"/>
          <w:sz w:val="28"/>
          <w:szCs w:val="28"/>
          <w:lang w:val="en-US" w:eastAsia="zh-CN"/>
        </w:rPr>
        <w:t>:</w:t>
      </w:r>
      <w:r>
        <w:rPr>
          <w:rFonts w:hint="eastAsia" w:ascii="仿宋_GB2312" w:hAnsi="仿宋" w:eastAsia="仿宋_GB2312"/>
          <w:sz w:val="32"/>
          <w:szCs w:val="32"/>
        </w:rPr>
        <w:t>北京市西城区水务管理中心是区城管委下属全额拨款事业单位，是纳入202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年度部门决算汇编范围的独立核算二级单位，执行政府会计制度。</w:t>
      </w:r>
    </w:p>
    <w:p>
      <w:pPr>
        <w:snapToGrid w:val="0"/>
        <w:spacing w:line="520" w:lineRule="exact"/>
        <w:ind w:firstLine="640" w:firstLineChars="200"/>
        <w:rPr>
          <w:rFonts w:hint="eastAsia" w:ascii="仿宋_GB2312" w:eastAsia="仿宋_GB2312"/>
          <w:sz w:val="28"/>
          <w:szCs w:val="28"/>
        </w:rPr>
      </w:pPr>
      <w:r>
        <w:rPr>
          <w:rFonts w:hint="eastAsia" w:ascii="仿宋_GB2312" w:hAnsi="仿宋" w:eastAsia="仿宋_GB2312"/>
          <w:sz w:val="32"/>
          <w:szCs w:val="32"/>
        </w:rPr>
        <w:t>北京市西城区水务管理中心负责海绵城市建设工程的具体实施；负责再生水监督管理，推广再生水使用；负责地下水管理和自备井置换工作；负责水务监察和执法工作；负责水务管理相关辅助工作。</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787.63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1.98</w:t>
      </w:r>
      <w:r>
        <w:rPr>
          <w:rFonts w:hint="eastAsia" w:ascii="仿宋_GB2312" w:eastAsia="仿宋_GB2312"/>
          <w:sz w:val="28"/>
          <w:szCs w:val="28"/>
        </w:rPr>
        <w:t>万元，下降</w:t>
      </w:r>
      <w:r>
        <w:rPr>
          <w:rFonts w:hint="eastAsia" w:ascii="仿宋_GB2312" w:eastAsia="仿宋_GB2312"/>
          <w:sz w:val="28"/>
          <w:szCs w:val="28"/>
          <w:lang w:val="en-US" w:eastAsia="zh-CN"/>
        </w:rPr>
        <w:t>0.25</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787.63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1.98</w:t>
      </w:r>
      <w:r>
        <w:rPr>
          <w:rFonts w:hint="eastAsia" w:ascii="仿宋_GB2312" w:eastAsia="仿宋_GB2312"/>
          <w:sz w:val="28"/>
          <w:szCs w:val="28"/>
        </w:rPr>
        <w:t>万元，下降</w:t>
      </w:r>
      <w:r>
        <w:rPr>
          <w:rFonts w:hint="eastAsia" w:ascii="仿宋_GB2312" w:eastAsia="仿宋_GB2312"/>
          <w:sz w:val="28"/>
          <w:szCs w:val="28"/>
          <w:lang w:val="en-US" w:eastAsia="zh-CN"/>
        </w:rPr>
        <w:t>0.25</w:t>
      </w:r>
      <w:r>
        <w:rPr>
          <w:rFonts w:hint="eastAsia" w:ascii="仿宋_GB2312" w:eastAsia="仿宋_GB2312"/>
          <w:sz w:val="28"/>
          <w:szCs w:val="28"/>
        </w:rPr>
        <w:t>%</w:t>
      </w:r>
      <w:r>
        <w:rPr>
          <w:rFonts w:hint="eastAsia" w:ascii="仿宋_GB2312" w:eastAsia="仿宋_GB2312"/>
          <w:sz w:val="28"/>
          <w:szCs w:val="28"/>
          <w:lang w:eastAsia="zh-CN"/>
        </w:rPr>
        <w:t>。</w:t>
      </w:r>
    </w:p>
    <w:p>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787.63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787.63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787.63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1.98</w:t>
      </w:r>
      <w:r>
        <w:rPr>
          <w:rFonts w:hint="eastAsia" w:ascii="仿宋_GB2312" w:eastAsia="仿宋_GB2312"/>
          <w:sz w:val="28"/>
          <w:szCs w:val="28"/>
        </w:rPr>
        <w:t>万元，下降</w:t>
      </w:r>
      <w:r>
        <w:rPr>
          <w:rFonts w:hint="eastAsia" w:ascii="仿宋_GB2312" w:eastAsia="仿宋_GB2312"/>
          <w:sz w:val="28"/>
          <w:szCs w:val="28"/>
          <w:lang w:val="en-US" w:eastAsia="zh-CN"/>
        </w:rPr>
        <w:t>0.25</w:t>
      </w:r>
      <w:r>
        <w:rPr>
          <w:rFonts w:hint="eastAsia" w:ascii="仿宋_GB2312" w:eastAsia="仿宋_GB2312"/>
          <w:sz w:val="28"/>
          <w:szCs w:val="28"/>
        </w:rPr>
        <w:t>%，其中：基本支出</w:t>
      </w:r>
      <w:r>
        <w:rPr>
          <w:rFonts w:ascii="仿宋_GB2312" w:eastAsia="仿宋_GB2312"/>
          <w:sz w:val="28"/>
          <w:szCs w:val="28"/>
        </w:rPr>
        <w:t>787.63</w:t>
      </w:r>
      <w:r>
        <w:rPr>
          <w:rFonts w:hint="eastAsia" w:ascii="仿宋_GB2312" w:eastAsia="仿宋_GB2312"/>
          <w:sz w:val="28"/>
          <w:szCs w:val="28"/>
        </w:rPr>
        <w:t>万元，占支出合计的</w:t>
      </w:r>
      <w:r>
        <w:rPr>
          <w:rFonts w:hint="eastAsia" w:ascii="仿宋_GB2312" w:eastAsia="仿宋_GB2312"/>
          <w:sz w:val="28"/>
          <w:szCs w:val="28"/>
          <w:lang w:eastAsia="zh-CN"/>
        </w:rPr>
        <w:t>100</w:t>
      </w:r>
      <w:r>
        <w:rPr>
          <w:rFonts w:hint="eastAsia" w:ascii="仿宋_GB2312" w:eastAsia="仿宋_GB2312"/>
          <w:sz w:val="28"/>
          <w:szCs w:val="28"/>
        </w:rPr>
        <w:t>%；项目支出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pPr>
        <w:jc w:val="center"/>
        <w:rPr>
          <w:rFonts w:ascii="黑体" w:eastAsia="黑体"/>
          <w:b/>
          <w:sz w:val="28"/>
          <w:szCs w:val="28"/>
        </w:rPr>
      </w:pP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787.63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1.98</w:t>
      </w:r>
      <w:r>
        <w:rPr>
          <w:rFonts w:hint="eastAsia" w:ascii="仿宋_GB2312" w:eastAsia="仿宋_GB2312"/>
          <w:sz w:val="28"/>
          <w:szCs w:val="28"/>
        </w:rPr>
        <w:t>万元，下降</w:t>
      </w:r>
      <w:r>
        <w:rPr>
          <w:rFonts w:hint="eastAsia" w:ascii="仿宋_GB2312" w:eastAsia="仿宋_GB2312"/>
          <w:sz w:val="28"/>
          <w:szCs w:val="28"/>
          <w:lang w:val="en-US" w:eastAsia="zh-CN"/>
        </w:rPr>
        <w:t>0.25</w:t>
      </w:r>
      <w:r>
        <w:rPr>
          <w:rFonts w:hint="eastAsia" w:ascii="仿宋_GB2312" w:eastAsia="仿宋_GB2312"/>
          <w:sz w:val="28"/>
          <w:szCs w:val="28"/>
        </w:rPr>
        <w:t>%。主要原因：</w:t>
      </w:r>
      <w:r>
        <w:rPr>
          <w:rFonts w:hint="eastAsia" w:ascii="仿宋_GB2312" w:eastAsia="仿宋_GB2312"/>
          <w:sz w:val="28"/>
          <w:szCs w:val="28"/>
          <w:lang w:eastAsia="zh-CN"/>
        </w:rPr>
        <w:t>严格落实过紧日子原则，缩减预算支出</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787.63</w:t>
      </w:r>
      <w:r>
        <w:rPr>
          <w:rFonts w:hint="eastAsia" w:ascii="仿宋_GB2312" w:eastAsia="仿宋_GB2312"/>
          <w:sz w:val="28"/>
          <w:szCs w:val="28"/>
        </w:rPr>
        <w:t>万元，主要用于以下方面（按大类）：</w:t>
      </w:r>
      <w:r>
        <w:rPr>
          <w:rFonts w:hint="eastAsia" w:ascii="仿宋_GB2312" w:hAnsi="Times New Roman" w:eastAsia="仿宋_GB2312" w:cs="Times New Roman"/>
          <w:sz w:val="28"/>
          <w:szCs w:val="28"/>
        </w:rPr>
        <w:t>社会保障和就业支出</w:t>
      </w:r>
      <w:r>
        <w:rPr>
          <w:rFonts w:hint="eastAsia" w:ascii="仿宋_GB2312" w:hAnsi="Times New Roman" w:eastAsia="仿宋_GB2312" w:cs="Times New Roman"/>
          <w:sz w:val="28"/>
          <w:szCs w:val="28"/>
          <w:lang w:val="en-US" w:eastAsia="zh-CN"/>
        </w:rPr>
        <w:t>107.95</w:t>
      </w:r>
      <w:r>
        <w:rPr>
          <w:rFonts w:hint="eastAsia" w:ascii="仿宋_GB2312" w:hAnsi="Times New Roman" w:eastAsia="仿宋_GB2312" w:cs="Times New Roman"/>
          <w:sz w:val="28"/>
          <w:szCs w:val="28"/>
        </w:rPr>
        <w:t>万元，占本年财政拨款支出</w:t>
      </w:r>
      <w:r>
        <w:rPr>
          <w:rFonts w:hint="eastAsia" w:ascii="仿宋_GB2312" w:hAnsi="Times New Roman" w:eastAsia="仿宋_GB2312" w:cs="Times New Roman"/>
          <w:sz w:val="28"/>
          <w:szCs w:val="28"/>
          <w:lang w:val="en-US" w:eastAsia="zh-CN"/>
        </w:rPr>
        <w:t>13.71</w:t>
      </w:r>
      <w:r>
        <w:rPr>
          <w:rFonts w:hint="eastAsia" w:ascii="仿宋_GB2312" w:hAnsi="Times New Roman" w:eastAsia="仿宋_GB2312" w:cs="Times New Roman"/>
          <w:sz w:val="28"/>
          <w:szCs w:val="28"/>
        </w:rPr>
        <w:t>%； 卫生健康支出</w:t>
      </w:r>
      <w:r>
        <w:rPr>
          <w:rFonts w:hint="eastAsia" w:ascii="仿宋_GB2312" w:hAnsi="Times New Roman" w:eastAsia="仿宋_GB2312" w:cs="Times New Roman"/>
          <w:sz w:val="28"/>
          <w:szCs w:val="28"/>
          <w:lang w:val="en-US" w:eastAsia="zh-CN"/>
        </w:rPr>
        <w:t>58.59</w:t>
      </w:r>
      <w:r>
        <w:rPr>
          <w:rFonts w:hint="eastAsia" w:ascii="仿宋_GB2312" w:hAnsi="Times New Roman" w:eastAsia="仿宋_GB2312" w:cs="Times New Roman"/>
          <w:sz w:val="28"/>
          <w:szCs w:val="28"/>
        </w:rPr>
        <w:t>万元，占本年财政拨款支出</w:t>
      </w:r>
      <w:r>
        <w:rPr>
          <w:rFonts w:hint="eastAsia" w:ascii="仿宋_GB2312" w:hAnsi="Times New Roman" w:eastAsia="仿宋_GB2312" w:cs="Times New Roman"/>
          <w:sz w:val="28"/>
          <w:szCs w:val="28"/>
          <w:lang w:val="en-US" w:eastAsia="zh-CN"/>
        </w:rPr>
        <w:t>7.44</w:t>
      </w:r>
      <w:r>
        <w:rPr>
          <w:rFonts w:hint="eastAsia" w:ascii="仿宋_GB2312" w:hAnsi="Times New Roman" w:eastAsia="仿宋_GB2312" w:cs="Times New Roman"/>
          <w:sz w:val="28"/>
          <w:szCs w:val="28"/>
        </w:rPr>
        <w:t>%；农林水支出</w:t>
      </w:r>
      <w:r>
        <w:rPr>
          <w:rFonts w:hint="eastAsia" w:ascii="仿宋_GB2312" w:hAnsi="Times New Roman" w:eastAsia="仿宋_GB2312" w:cs="Times New Roman"/>
          <w:sz w:val="28"/>
          <w:szCs w:val="28"/>
          <w:lang w:val="en-US" w:eastAsia="zh-CN"/>
        </w:rPr>
        <w:t>508.51</w:t>
      </w:r>
      <w:r>
        <w:rPr>
          <w:rFonts w:hint="eastAsia" w:ascii="仿宋_GB2312" w:hAnsi="Times New Roman" w:eastAsia="仿宋_GB2312" w:cs="Times New Roman"/>
          <w:sz w:val="28"/>
          <w:szCs w:val="28"/>
        </w:rPr>
        <w:t>万元，占本年财政拨款支出</w:t>
      </w:r>
      <w:r>
        <w:rPr>
          <w:rFonts w:hint="eastAsia" w:ascii="仿宋_GB2312" w:hAnsi="Times New Roman" w:eastAsia="仿宋_GB2312" w:cs="Times New Roman"/>
          <w:sz w:val="28"/>
          <w:szCs w:val="28"/>
          <w:lang w:val="en-US" w:eastAsia="zh-CN"/>
        </w:rPr>
        <w:t>64.56</w:t>
      </w:r>
      <w:r>
        <w:rPr>
          <w:rFonts w:hint="eastAsia" w:ascii="仿宋_GB2312" w:hAnsi="Times New Roman" w:eastAsia="仿宋_GB2312" w:cs="Times New Roman"/>
          <w:sz w:val="28"/>
          <w:szCs w:val="28"/>
        </w:rPr>
        <w:t>%；住房保障支出</w:t>
      </w:r>
      <w:r>
        <w:rPr>
          <w:rFonts w:hint="eastAsia" w:ascii="仿宋_GB2312" w:hAnsi="Times New Roman" w:eastAsia="仿宋_GB2312" w:cs="Times New Roman"/>
          <w:sz w:val="28"/>
          <w:szCs w:val="28"/>
          <w:lang w:val="en-US" w:eastAsia="zh-CN"/>
        </w:rPr>
        <w:t>112.61</w:t>
      </w:r>
      <w:r>
        <w:rPr>
          <w:rFonts w:hint="eastAsia" w:ascii="仿宋_GB2312" w:hAnsi="Times New Roman" w:eastAsia="仿宋_GB2312" w:cs="Times New Roman"/>
          <w:sz w:val="28"/>
          <w:szCs w:val="28"/>
        </w:rPr>
        <w:t>万元，占本年财政拨款支出</w:t>
      </w:r>
      <w:r>
        <w:rPr>
          <w:rFonts w:hint="eastAsia" w:ascii="仿宋_GB2312" w:hAnsi="Times New Roman" w:eastAsia="仿宋_GB2312" w:cs="Times New Roman"/>
          <w:sz w:val="28"/>
          <w:szCs w:val="28"/>
          <w:lang w:val="en-US" w:eastAsia="zh-CN"/>
        </w:rPr>
        <w:t>14.30</w:t>
      </w:r>
      <w:r>
        <w:rPr>
          <w:rFonts w:hint="eastAsia" w:ascii="仿宋_GB2312" w:hAnsi="Times New Roman" w:eastAsia="仿宋_GB2312" w:cs="Times New Roman"/>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tabs>
          <w:tab w:val="center" w:pos="6979"/>
        </w:tabs>
        <w:spacing w:line="58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1、“社会保障和就业支出”（类）202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107.95</w:t>
      </w:r>
      <w:r>
        <w:rPr>
          <w:rFonts w:hint="eastAsia" w:ascii="仿宋_GB2312" w:hAnsi="Times New Roman" w:eastAsia="仿宋_GB2312" w:cs="Times New Roman"/>
          <w:sz w:val="28"/>
          <w:szCs w:val="28"/>
        </w:rPr>
        <w:t>万元，比202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减少</w:t>
      </w:r>
      <w:r>
        <w:rPr>
          <w:rFonts w:hint="eastAsia" w:ascii="仿宋_GB2312" w:hAnsi="Times New Roman" w:eastAsia="仿宋_GB2312" w:cs="Times New Roman"/>
          <w:sz w:val="28"/>
          <w:szCs w:val="28"/>
          <w:lang w:val="en-US" w:eastAsia="zh-CN"/>
        </w:rPr>
        <w:t>0.07</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减少</w:t>
      </w:r>
      <w:r>
        <w:rPr>
          <w:rFonts w:hint="eastAsia" w:ascii="仿宋_GB2312" w:hAnsi="Times New Roman" w:eastAsia="仿宋_GB2312" w:cs="Times New Roman"/>
          <w:sz w:val="28"/>
          <w:szCs w:val="28"/>
          <w:lang w:val="en-US" w:eastAsia="zh-CN"/>
        </w:rPr>
        <w:t>0.06</w:t>
      </w:r>
      <w:r>
        <w:rPr>
          <w:rFonts w:hint="eastAsia" w:ascii="仿宋_GB2312" w:hAnsi="Times New Roman" w:eastAsia="仿宋_GB2312" w:cs="Times New Roman"/>
          <w:sz w:val="28"/>
          <w:szCs w:val="28"/>
        </w:rPr>
        <w:t>%。其中：</w:t>
      </w:r>
    </w:p>
    <w:p>
      <w:pPr>
        <w:tabs>
          <w:tab w:val="center" w:pos="6979"/>
        </w:tabs>
        <w:spacing w:line="580" w:lineRule="exact"/>
        <w:ind w:firstLine="560" w:firstLineChars="200"/>
        <w:rPr>
          <w:rFonts w:hint="eastAsia" w:ascii="仿宋_GB2312" w:hAnsi="Times New Roman" w:eastAsia="仿宋_GB2312" w:cs="Times New Roman"/>
          <w:sz w:val="28"/>
          <w:szCs w:val="28"/>
          <w:lang w:eastAsia="zh-CN"/>
        </w:rPr>
      </w:pPr>
      <w:r>
        <w:rPr>
          <w:rFonts w:hint="eastAsia" w:ascii="仿宋_GB2312" w:hAnsi="Times New Roman" w:eastAsia="仿宋_GB2312" w:cs="Times New Roman"/>
          <w:sz w:val="28"/>
          <w:szCs w:val="28"/>
        </w:rPr>
        <w:t>“行政事业单位养老支出”202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107.95</w:t>
      </w:r>
      <w:r>
        <w:rPr>
          <w:rFonts w:hint="eastAsia" w:ascii="仿宋_GB2312" w:hAnsi="Times New Roman" w:eastAsia="仿宋_GB2312" w:cs="Times New Roman"/>
          <w:sz w:val="28"/>
          <w:szCs w:val="28"/>
        </w:rPr>
        <w:t>万元。比202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减少</w:t>
      </w:r>
      <w:r>
        <w:rPr>
          <w:rFonts w:hint="eastAsia" w:ascii="仿宋_GB2312" w:hAnsi="Times New Roman" w:eastAsia="仿宋_GB2312" w:cs="Times New Roman"/>
          <w:sz w:val="28"/>
          <w:szCs w:val="28"/>
          <w:lang w:val="en-US" w:eastAsia="zh-CN"/>
        </w:rPr>
        <w:t>0.07</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减少</w:t>
      </w:r>
      <w:r>
        <w:rPr>
          <w:rFonts w:hint="eastAsia" w:ascii="仿宋_GB2312" w:hAnsi="Times New Roman" w:eastAsia="仿宋_GB2312" w:cs="Times New Roman"/>
          <w:sz w:val="28"/>
          <w:szCs w:val="28"/>
          <w:lang w:val="en-US" w:eastAsia="zh-CN"/>
        </w:rPr>
        <w:t>0.06</w:t>
      </w:r>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lang w:eastAsia="zh-CN"/>
        </w:rPr>
        <w:t>。主要原因：人员减少。</w:t>
      </w:r>
    </w:p>
    <w:p>
      <w:pPr>
        <w:tabs>
          <w:tab w:val="center" w:pos="6979"/>
        </w:tabs>
        <w:spacing w:line="58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2、“卫生健康支出”(类)202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58.59</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与</w:t>
      </w:r>
      <w:r>
        <w:rPr>
          <w:rFonts w:hint="eastAsia" w:ascii="仿宋_GB2312" w:hAnsi="Times New Roman" w:eastAsia="仿宋_GB2312" w:cs="Times New Roman"/>
          <w:sz w:val="28"/>
          <w:szCs w:val="28"/>
        </w:rPr>
        <w:t>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一致。</w:t>
      </w:r>
      <w:r>
        <w:rPr>
          <w:rFonts w:hint="eastAsia" w:ascii="仿宋_GB2312" w:hAnsi="Times New Roman" w:eastAsia="仿宋_GB2312" w:cs="Times New Roman"/>
          <w:sz w:val="28"/>
          <w:szCs w:val="28"/>
        </w:rPr>
        <w:t>其中：</w:t>
      </w:r>
    </w:p>
    <w:p>
      <w:pPr>
        <w:tabs>
          <w:tab w:val="center" w:pos="6979"/>
        </w:tabs>
        <w:spacing w:line="580" w:lineRule="exact"/>
        <w:ind w:firstLine="560" w:firstLineChars="200"/>
        <w:rPr>
          <w:rFonts w:hint="eastAsia" w:ascii="仿宋_GB2312" w:hAnsi="Times New Roman" w:eastAsia="仿宋_GB2312" w:cs="Times New Roman"/>
          <w:sz w:val="28"/>
          <w:szCs w:val="28"/>
          <w:lang w:eastAsia="zh-CN"/>
        </w:rPr>
      </w:pP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事业单位医疗</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58.59</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w:t>
      </w:r>
    </w:p>
    <w:p>
      <w:pPr>
        <w:tabs>
          <w:tab w:val="center" w:pos="6979"/>
        </w:tabs>
        <w:spacing w:line="58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lang w:val="en-US" w:eastAsia="zh-CN"/>
        </w:rPr>
        <w:t>3</w:t>
      </w:r>
      <w:r>
        <w:rPr>
          <w:rFonts w:hint="eastAsia" w:ascii="仿宋_GB2312" w:hAnsi="Times New Roman" w:eastAsia="仿宋_GB2312" w:cs="Times New Roman"/>
          <w:sz w:val="28"/>
          <w:szCs w:val="28"/>
        </w:rPr>
        <w:t>、“农林水支出”(类)202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508.51</w:t>
      </w:r>
      <w:r>
        <w:rPr>
          <w:rFonts w:hint="eastAsia" w:ascii="仿宋_GB2312" w:hAnsi="Times New Roman" w:eastAsia="仿宋_GB2312" w:cs="Times New Roman"/>
          <w:sz w:val="28"/>
          <w:szCs w:val="28"/>
        </w:rPr>
        <w:t>万元，比202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减少</w:t>
      </w:r>
      <w:r>
        <w:rPr>
          <w:rFonts w:hint="eastAsia" w:ascii="仿宋_GB2312" w:hAnsi="Times New Roman" w:eastAsia="仿宋_GB2312" w:cs="Times New Roman"/>
          <w:sz w:val="28"/>
          <w:szCs w:val="28"/>
          <w:lang w:val="en-US" w:eastAsia="zh-CN"/>
        </w:rPr>
        <w:t>59.76</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减少</w:t>
      </w:r>
      <w:r>
        <w:rPr>
          <w:rFonts w:hint="eastAsia" w:ascii="仿宋_GB2312" w:hAnsi="Times New Roman" w:eastAsia="仿宋_GB2312" w:cs="Times New Roman"/>
          <w:sz w:val="28"/>
          <w:szCs w:val="28"/>
          <w:lang w:val="en-US" w:eastAsia="zh-CN"/>
        </w:rPr>
        <w:t>10.52</w:t>
      </w:r>
      <w:r>
        <w:rPr>
          <w:rFonts w:hint="eastAsia" w:ascii="仿宋_GB2312" w:hAnsi="Times New Roman" w:eastAsia="仿宋_GB2312" w:cs="Times New Roman"/>
          <w:sz w:val="28"/>
          <w:szCs w:val="28"/>
        </w:rPr>
        <w:t>%。其中：</w:t>
      </w:r>
    </w:p>
    <w:p>
      <w:pPr>
        <w:tabs>
          <w:tab w:val="center" w:pos="6979"/>
        </w:tabs>
        <w:spacing w:line="580" w:lineRule="exact"/>
        <w:ind w:firstLine="570"/>
        <w:rPr>
          <w:rFonts w:hint="eastAsia" w:ascii="仿宋_GB2312" w:hAnsi="Times New Roman" w:eastAsia="仿宋_GB2312" w:cs="Times New Roman"/>
          <w:sz w:val="28"/>
          <w:szCs w:val="28"/>
          <w:lang w:eastAsia="zh-CN"/>
        </w:rPr>
      </w:pP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水资源节约管理与保护</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508.51</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减少</w:t>
      </w:r>
      <w:r>
        <w:rPr>
          <w:rFonts w:hint="eastAsia" w:ascii="仿宋_GB2312" w:hAnsi="Times New Roman" w:eastAsia="仿宋_GB2312" w:cs="Times New Roman"/>
          <w:sz w:val="28"/>
          <w:szCs w:val="28"/>
          <w:lang w:val="en-US" w:eastAsia="zh-CN"/>
        </w:rPr>
        <w:t>59.76</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减少</w:t>
      </w:r>
      <w:r>
        <w:rPr>
          <w:rFonts w:hint="eastAsia" w:ascii="仿宋_GB2312" w:hAnsi="Times New Roman" w:eastAsia="仿宋_GB2312" w:cs="Times New Roman"/>
          <w:sz w:val="28"/>
          <w:szCs w:val="28"/>
          <w:lang w:val="en-US" w:eastAsia="zh-CN"/>
        </w:rPr>
        <w:t>10.52</w:t>
      </w:r>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lang w:eastAsia="zh-CN"/>
        </w:rPr>
        <w:t>。主要原因：</w:t>
      </w:r>
      <w:r>
        <w:rPr>
          <w:rFonts w:hint="eastAsia" w:ascii="仿宋_GB2312" w:eastAsia="仿宋_GB2312"/>
          <w:sz w:val="28"/>
          <w:szCs w:val="28"/>
          <w:lang w:eastAsia="zh-CN"/>
        </w:rPr>
        <w:t>严格落实过紧日子原则，缩减预算支出</w:t>
      </w:r>
      <w:r>
        <w:rPr>
          <w:rFonts w:hint="eastAsia" w:ascii="仿宋_GB2312" w:eastAsia="仿宋_GB2312"/>
          <w:sz w:val="28"/>
          <w:szCs w:val="28"/>
        </w:rPr>
        <w:t>。</w:t>
      </w:r>
    </w:p>
    <w:p>
      <w:pPr>
        <w:tabs>
          <w:tab w:val="center" w:pos="6979"/>
        </w:tabs>
        <w:spacing w:line="58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、“住房保障支出”(类)202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112.61</w:t>
      </w:r>
      <w:r>
        <w:rPr>
          <w:rFonts w:hint="eastAsia" w:ascii="仿宋_GB2312" w:hAnsi="Times New Roman" w:eastAsia="仿宋_GB2312" w:cs="Times New Roman"/>
          <w:sz w:val="28"/>
          <w:szCs w:val="28"/>
        </w:rPr>
        <w:t>万元，比202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增加</w:t>
      </w:r>
      <w:r>
        <w:rPr>
          <w:rFonts w:hint="eastAsia" w:ascii="仿宋_GB2312" w:hAnsi="Times New Roman" w:eastAsia="仿宋_GB2312" w:cs="Times New Roman"/>
          <w:sz w:val="28"/>
          <w:szCs w:val="28"/>
          <w:lang w:val="en-US" w:eastAsia="zh-CN"/>
        </w:rPr>
        <w:t>,16.81</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增加</w:t>
      </w:r>
      <w:r>
        <w:rPr>
          <w:rFonts w:hint="eastAsia" w:ascii="仿宋_GB2312" w:hAnsi="Times New Roman" w:eastAsia="仿宋_GB2312" w:cs="Times New Roman"/>
          <w:sz w:val="28"/>
          <w:szCs w:val="28"/>
          <w:lang w:val="en-US" w:eastAsia="zh-CN"/>
        </w:rPr>
        <w:t>17.55</w:t>
      </w:r>
      <w:r>
        <w:rPr>
          <w:rFonts w:hint="eastAsia" w:ascii="仿宋_GB2312" w:hAnsi="Times New Roman" w:eastAsia="仿宋_GB2312" w:cs="Times New Roman"/>
          <w:sz w:val="28"/>
          <w:szCs w:val="28"/>
        </w:rPr>
        <w:t>%。其中：</w:t>
      </w:r>
    </w:p>
    <w:p>
      <w:pPr>
        <w:tabs>
          <w:tab w:val="center" w:pos="6979"/>
        </w:tabs>
        <w:spacing w:line="580" w:lineRule="exact"/>
        <w:ind w:firstLine="560" w:firstLineChars="200"/>
        <w:rPr>
          <w:rFonts w:hint="eastAsia" w:ascii="仿宋_GB2312" w:hAnsi="Times New Roman" w:eastAsia="仿宋_GB2312" w:cs="Times New Roman"/>
          <w:sz w:val="28"/>
          <w:szCs w:val="28"/>
          <w:lang w:eastAsia="zh-CN"/>
        </w:rPr>
      </w:pP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住房改革支出</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112.61</w:t>
      </w:r>
      <w:r>
        <w:rPr>
          <w:rFonts w:hint="eastAsia" w:ascii="仿宋_GB2312" w:hAnsi="Times New Roman" w:eastAsia="仿宋_GB2312" w:cs="Times New Roman"/>
          <w:sz w:val="28"/>
          <w:szCs w:val="28"/>
        </w:rPr>
        <w:t>万元，比202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增加</w:t>
      </w:r>
      <w:r>
        <w:rPr>
          <w:rFonts w:hint="eastAsia" w:ascii="仿宋_GB2312" w:hAnsi="Times New Roman" w:eastAsia="仿宋_GB2312" w:cs="Times New Roman"/>
          <w:sz w:val="28"/>
          <w:szCs w:val="28"/>
          <w:lang w:val="en-US" w:eastAsia="zh-CN"/>
        </w:rPr>
        <w:t>,16.81</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增加</w:t>
      </w:r>
      <w:r>
        <w:rPr>
          <w:rFonts w:hint="eastAsia" w:ascii="仿宋_GB2312" w:hAnsi="Times New Roman" w:eastAsia="仿宋_GB2312" w:cs="Times New Roman"/>
          <w:sz w:val="28"/>
          <w:szCs w:val="28"/>
          <w:lang w:val="en-US" w:eastAsia="zh-CN"/>
        </w:rPr>
        <w:t>17.55</w:t>
      </w:r>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lang w:eastAsia="zh-CN"/>
        </w:rPr>
        <w:t>主要原因：年中调整基数。</w:t>
      </w:r>
    </w:p>
    <w:p>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pPr>
        <w:spacing w:line="580" w:lineRule="exact"/>
        <w:ind w:firstLine="560" w:firstLineChars="200"/>
        <w:rPr>
          <w:rFonts w:ascii="仿宋_GB2312" w:eastAsia="仿宋_GB2312"/>
          <w:sz w:val="28"/>
          <w:szCs w:val="28"/>
        </w:rPr>
      </w:pPr>
      <w:r>
        <w:rPr>
          <w:rFonts w:hint="eastAsia" w:ascii="仿宋_GB2312" w:hAnsi="Times New Roman" w:eastAsia="仿宋_GB2312" w:cs="Times New Roman"/>
          <w:sz w:val="28"/>
          <w:szCs w:val="28"/>
          <w:lang w:eastAsia="zh-CN"/>
        </w:rPr>
        <w:t>不涉及</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787.63</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560" w:firstLineChars="200"/>
        <w:rPr>
          <w:rFonts w:ascii="仿宋_GB2312" w:eastAsia="仿宋_GB2312"/>
          <w:sz w:val="28"/>
          <w:szCs w:val="28"/>
        </w:rPr>
      </w:pPr>
      <w:r>
        <w:rPr>
          <w:rFonts w:hint="eastAsia" w:ascii="仿宋_GB2312" w:eastAsia="仿宋_GB2312"/>
          <w:sz w:val="28"/>
          <w:szCs w:val="28"/>
        </w:rPr>
        <w:t>“三公”经费包括本部门/单位所属</w:t>
      </w:r>
      <w:r>
        <w:rPr>
          <w:rFonts w:hint="eastAsia" w:ascii="仿宋_GB2312" w:eastAsia="仿宋_GB2312"/>
          <w:bCs/>
          <w:sz w:val="28"/>
          <w:szCs w:val="28"/>
          <w:lang w:val="en-US" w:eastAsia="zh-CN"/>
        </w:rPr>
        <w:t>0</w:t>
      </w:r>
      <w:r>
        <w:rPr>
          <w:rFonts w:hint="eastAsia" w:ascii="仿宋_GB2312" w:eastAsia="仿宋_GB2312"/>
          <w:sz w:val="28"/>
          <w:szCs w:val="28"/>
        </w:rPr>
        <w:t>个行政单位、</w:t>
      </w:r>
      <w:r>
        <w:rPr>
          <w:rFonts w:hint="eastAsia" w:ascii="仿宋_GB2312" w:eastAsia="仿宋_GB2312"/>
          <w:sz w:val="28"/>
          <w:szCs w:val="28"/>
          <w:lang w:val="en-US" w:eastAsia="zh-CN"/>
        </w:rPr>
        <w:t>0</w:t>
      </w:r>
      <w:r>
        <w:rPr>
          <w:rFonts w:hint="eastAsia" w:ascii="仿宋_GB2312" w:eastAsia="仿宋_GB2312"/>
          <w:sz w:val="28"/>
          <w:szCs w:val="28"/>
        </w:rPr>
        <w:t>个</w:t>
      </w:r>
      <w:r>
        <w:rPr>
          <w:rFonts w:ascii="仿宋_GB2312" w:eastAsia="仿宋_GB2312"/>
          <w:sz w:val="28"/>
          <w:szCs w:val="28"/>
        </w:rPr>
        <w:t>参</w:t>
      </w:r>
      <w:r>
        <w:rPr>
          <w:rFonts w:hint="eastAsia" w:ascii="仿宋_GB2312" w:eastAsia="仿宋_GB2312"/>
          <w:sz w:val="28"/>
          <w:szCs w:val="28"/>
        </w:rPr>
        <w:t>照</w:t>
      </w:r>
      <w:r>
        <w:rPr>
          <w:rFonts w:ascii="仿宋_GB2312" w:eastAsia="仿宋_GB2312"/>
          <w:sz w:val="28"/>
          <w:szCs w:val="28"/>
        </w:rPr>
        <w:t>公务员法管理事业单位</w:t>
      </w:r>
      <w:r>
        <w:rPr>
          <w:rFonts w:hint="eastAsia" w:ascii="仿宋_GB2312" w:eastAsia="仿宋_GB2312"/>
          <w:sz w:val="28"/>
          <w:szCs w:val="28"/>
        </w:rPr>
        <w:t>、</w:t>
      </w:r>
      <w:r>
        <w:rPr>
          <w:rFonts w:hint="eastAsia" w:ascii="仿宋_GB2312" w:eastAsia="仿宋_GB2312"/>
          <w:bCs/>
          <w:sz w:val="28"/>
          <w:szCs w:val="28"/>
          <w:lang w:val="en-US" w:eastAsia="zh-CN"/>
        </w:rPr>
        <w:t>1</w:t>
      </w:r>
      <w:r>
        <w:rPr>
          <w:rFonts w:hint="eastAsia" w:ascii="仿宋_GB2312" w:eastAsia="仿宋_GB2312"/>
          <w:bCs/>
          <w:sz w:val="28"/>
          <w:szCs w:val="28"/>
        </w:rPr>
        <w:t>个</w:t>
      </w:r>
      <w:r>
        <w:rPr>
          <w:rFonts w:hint="eastAsia" w:ascii="仿宋_GB2312" w:eastAsia="仿宋_GB2312"/>
          <w:sz w:val="28"/>
          <w:szCs w:val="28"/>
        </w:rPr>
        <w:t>事业单位。</w:t>
      </w: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0.21</w:t>
      </w:r>
      <w:r>
        <w:rPr>
          <w:rFonts w:hint="eastAsia" w:ascii="仿宋_GB2312" w:eastAsia="仿宋_GB2312"/>
          <w:sz w:val="28"/>
          <w:szCs w:val="28"/>
        </w:rPr>
        <w:t>万元减少</w:t>
      </w:r>
      <w:r>
        <w:rPr>
          <w:rFonts w:ascii="仿宋_GB2312" w:eastAsia="仿宋_GB2312"/>
          <w:sz w:val="28"/>
          <w:szCs w:val="28"/>
        </w:rPr>
        <w:t>0.21</w:t>
      </w:r>
      <w:r>
        <w:rPr>
          <w:rFonts w:hint="eastAsia" w:ascii="仿宋_GB2312" w:eastAsia="仿宋_GB2312"/>
          <w:sz w:val="28"/>
          <w:szCs w:val="28"/>
        </w:rPr>
        <w:t>万元。</w:t>
      </w:r>
      <w:r>
        <w:rPr>
          <w:rFonts w:hint="eastAsia" w:ascii="仿宋_GB2312" w:eastAsia="仿宋_GB2312"/>
          <w:sz w:val="28"/>
          <w:szCs w:val="28"/>
          <w:lang w:eastAsia="zh-CN"/>
        </w:rPr>
        <w:t>本年无支出。</w:t>
      </w:r>
    </w:p>
    <w:p>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年度使用财政拨款安排的基本支出中的日常公用经费支出，合计</w:t>
      </w:r>
      <w:r>
        <w:rPr>
          <w:rFonts w:hint="eastAsia" w:ascii="仿宋_GB2312" w:eastAsia="仿宋_GB2312"/>
          <w:sz w:val="28"/>
          <w:szCs w:val="28"/>
          <w:lang w:val="en-US" w:eastAsia="zh-CN"/>
        </w:rPr>
        <w:t>19.12</w:t>
      </w:r>
      <w:r>
        <w:rPr>
          <w:rFonts w:hint="eastAsia" w:ascii="仿宋_GB2312" w:eastAsia="仿宋_GB2312"/>
          <w:sz w:val="28"/>
          <w:szCs w:val="28"/>
        </w:rPr>
        <w:t>万元，比上年增加</w:t>
      </w:r>
      <w:r>
        <w:rPr>
          <w:rFonts w:hint="eastAsia" w:ascii="仿宋_GB2312" w:eastAsia="仿宋_GB2312"/>
          <w:sz w:val="28"/>
          <w:szCs w:val="28"/>
          <w:lang w:val="en-US" w:eastAsia="zh-CN"/>
        </w:rPr>
        <w:t>0.12</w:t>
      </w:r>
      <w:r>
        <w:rPr>
          <w:rFonts w:hint="eastAsia" w:ascii="仿宋_GB2312" w:eastAsia="仿宋_GB2312"/>
          <w:sz w:val="28"/>
          <w:szCs w:val="28"/>
        </w:rPr>
        <w:t>万元，增加原因：</w:t>
      </w:r>
      <w:r>
        <w:rPr>
          <w:rFonts w:hint="eastAsia" w:ascii="仿宋_GB2312" w:eastAsia="仿宋_GB2312"/>
          <w:sz w:val="28"/>
          <w:szCs w:val="28"/>
          <w:lang w:eastAsia="zh-CN"/>
        </w:rPr>
        <w:t>人员增加</w:t>
      </w:r>
      <w:r>
        <w:rPr>
          <w:rFonts w:hint="eastAsia" w:ascii="仿宋_GB2312" w:eastAsia="仿宋_GB2312"/>
          <w:sz w:val="28"/>
          <w:szCs w:val="28"/>
        </w:rPr>
        <w:t>。</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0</w:t>
      </w:r>
      <w:r>
        <w:rPr>
          <w:rFonts w:hint="eastAsia" w:ascii="仿宋_GB2312" w:eastAsia="仿宋_GB2312"/>
          <w:sz w:val="28"/>
          <w:szCs w:val="28"/>
        </w:rPr>
        <w:t>万元，其中：政府采购货物支出</w:t>
      </w:r>
      <w:r>
        <w:rPr>
          <w:rFonts w:ascii="仿宋_GB2312" w:eastAsia="仿宋_GB2312"/>
          <w:sz w:val="28"/>
          <w:szCs w:val="28"/>
        </w:rPr>
        <w:t>0</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0</w:t>
      </w:r>
      <w:r>
        <w:rPr>
          <w:rFonts w:hint="eastAsia" w:ascii="仿宋_GB2312" w:eastAsia="仿宋_GB2312"/>
          <w:sz w:val="28"/>
          <w:szCs w:val="28"/>
        </w:rPr>
        <w:t>万元。授予中小企业合同金额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0</w:t>
      </w:r>
      <w:r>
        <w:rPr>
          <w:rFonts w:hint="eastAsia" w:ascii="仿宋_GB2312" w:eastAsia="仿宋_GB2312"/>
          <w:sz w:val="28"/>
          <w:szCs w:val="28"/>
        </w:rPr>
        <w:t>%，其中：授予小微企业合同金额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ascii="仿宋_GB2312" w:eastAsia="仿宋_GB2312"/>
          <w:sz w:val="28"/>
          <w:szCs w:val="28"/>
        </w:rPr>
        <w:t>0</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12月31日，北京市西城区水务管理中心</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632" w:firstLineChars="200"/>
        <w:rPr>
          <w:rFonts w:hint="eastAsia" w:ascii="仿宋_GB2312" w:hAnsi="Times New Roman" w:eastAsia="仿宋_GB2312" w:cs="Times New Roman"/>
          <w:b/>
          <w:color w:val="000000"/>
          <w:spacing w:val="-2"/>
          <w:sz w:val="32"/>
          <w:szCs w:val="32"/>
          <w:lang w:eastAsia="zh-CN"/>
        </w:rPr>
      </w:pPr>
      <w:r>
        <w:rPr>
          <w:rFonts w:hint="eastAsia" w:ascii="仿宋_GB2312" w:eastAsia="仿宋_GB2312"/>
          <w:b/>
          <w:color w:val="000000"/>
          <w:spacing w:val="-2"/>
          <w:sz w:val="32"/>
          <w:szCs w:val="32"/>
          <w:lang w:val="en-US" w:eastAsia="zh-CN"/>
        </w:rPr>
        <w:t>7.</w:t>
      </w:r>
      <w:r>
        <w:rPr>
          <w:rFonts w:hint="eastAsia" w:ascii="仿宋_GB2312" w:eastAsia="仿宋_GB2312"/>
          <w:b/>
          <w:color w:val="000000"/>
          <w:spacing w:val="-2"/>
          <w:sz w:val="32"/>
          <w:szCs w:val="32"/>
        </w:rPr>
        <w:t>各</w:t>
      </w:r>
      <w:r>
        <w:rPr>
          <w:rFonts w:hint="eastAsia" w:ascii="仿宋_GB2312" w:eastAsia="仿宋_GB2312"/>
          <w:b/>
          <w:color w:val="000000"/>
          <w:spacing w:val="-2"/>
          <w:sz w:val="32"/>
          <w:szCs w:val="32"/>
          <w:lang w:eastAsia="zh-CN"/>
        </w:rPr>
        <w:t>单位</w:t>
      </w:r>
      <w:r>
        <w:rPr>
          <w:rFonts w:hint="eastAsia" w:ascii="仿宋_GB2312" w:eastAsia="仿宋_GB2312"/>
          <w:b/>
          <w:color w:val="000000"/>
          <w:spacing w:val="-2"/>
          <w:sz w:val="32"/>
          <w:szCs w:val="32"/>
        </w:rPr>
        <w:t>需根据自身业务职能</w:t>
      </w:r>
      <w:r>
        <w:rPr>
          <w:rFonts w:hint="eastAsia" w:ascii="仿宋_GB2312" w:hAnsi="Times New Roman" w:eastAsia="仿宋_GB2312" w:cs="Times New Roman"/>
          <w:b/>
          <w:color w:val="000000"/>
          <w:spacing w:val="-2"/>
          <w:sz w:val="32"/>
          <w:szCs w:val="32"/>
        </w:rPr>
        <w:t>，</w:t>
      </w:r>
      <w:r>
        <w:rPr>
          <w:rFonts w:hint="eastAsia" w:ascii="仿宋_GB2312" w:hAnsi="Times New Roman" w:eastAsia="仿宋_GB2312" w:cs="Times New Roman"/>
          <w:b/>
          <w:color w:val="000000"/>
          <w:spacing w:val="-2"/>
          <w:sz w:val="32"/>
          <w:szCs w:val="32"/>
          <w:lang w:eastAsia="zh-CN"/>
        </w:rPr>
        <w:t>补充当年</w:t>
      </w:r>
      <w:r>
        <w:rPr>
          <w:rFonts w:hint="eastAsia" w:ascii="仿宋_GB2312" w:hAnsi="Times New Roman" w:eastAsia="仿宋_GB2312" w:cs="Times New Roman"/>
          <w:b/>
          <w:color w:val="000000"/>
          <w:spacing w:val="-2"/>
          <w:sz w:val="32"/>
          <w:szCs w:val="32"/>
          <w:lang w:val="en-US" w:eastAsia="zh-CN"/>
        </w:rPr>
        <w:t>使用的所有</w:t>
      </w:r>
      <w:r>
        <w:rPr>
          <w:rFonts w:hint="eastAsia" w:ascii="仿宋_GB2312" w:hAnsi="Times New Roman" w:eastAsia="仿宋_GB2312" w:cs="Times New Roman"/>
          <w:b/>
          <w:color w:val="000000"/>
          <w:spacing w:val="-2"/>
          <w:sz w:val="32"/>
          <w:szCs w:val="32"/>
          <w:lang w:eastAsia="zh-CN"/>
        </w:rPr>
        <w:t>支出功能分类项级科目名词解释，例如：</w:t>
      </w:r>
    </w:p>
    <w:p>
      <w:pPr>
        <w:numPr>
          <w:ilvl w:val="0"/>
          <w:numId w:val="0"/>
        </w:numPr>
        <w:ind w:firstLine="632" w:firstLineChars="200"/>
        <w:rPr>
          <w:rFonts w:hint="eastAsia" w:ascii="仿宋_GB2312" w:eastAsia="仿宋_GB2312"/>
          <w:sz w:val="28"/>
          <w:szCs w:val="28"/>
          <w:lang w:val="en-US" w:eastAsia="zh-CN"/>
        </w:rPr>
      </w:pPr>
      <w:r>
        <w:rPr>
          <w:rFonts w:hint="eastAsia" w:ascii="仿宋_GB2312" w:hAnsi="Times New Roman" w:eastAsia="仿宋_GB2312" w:cs="Times New Roman"/>
          <w:b/>
          <w:color w:val="000000"/>
          <w:spacing w:val="-2"/>
          <w:sz w:val="32"/>
          <w:szCs w:val="32"/>
          <w:lang w:val="en-US" w:eastAsia="zh-CN"/>
        </w:rPr>
        <w:t>一般公共服务支出（类）人大事务（款）行政运行（项）：反映行政单位（包括实行公务员管理的事业单位）的基本支出</w:t>
      </w:r>
      <w:r>
        <w:rPr>
          <w:rFonts w:hint="eastAsia" w:ascii="仿宋_GB2312" w:eastAsia="仿宋_GB2312"/>
          <w:sz w:val="28"/>
          <w:szCs w:val="28"/>
          <w:lang w:val="en-US" w:eastAsia="zh-CN"/>
        </w:rPr>
        <w:t>。</w:t>
      </w:r>
    </w:p>
    <w:p>
      <w:pPr>
        <w:jc w:val="both"/>
        <w:rPr>
          <w:rFonts w:hint="eastAsia" w:ascii="黑体" w:eastAsia="黑体"/>
          <w:sz w:val="32"/>
          <w:szCs w:val="32"/>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numPr>
          <w:ilvl w:val="0"/>
          <w:numId w:val="0"/>
        </w:numPr>
        <w:ind w:firstLine="560" w:firstLineChars="200"/>
        <w:rPr>
          <w:rFonts w:hint="eastAsia" w:ascii="黑体" w:eastAsia="黑体"/>
          <w:sz w:val="28"/>
          <w:szCs w:val="28"/>
          <w:highlight w:val="none"/>
        </w:rPr>
      </w:pPr>
      <w:r>
        <w:rPr>
          <w:rFonts w:hint="eastAsia" w:ascii="黑体" w:eastAsia="黑体"/>
          <w:sz w:val="28"/>
          <w:szCs w:val="28"/>
          <w:highlight w:val="none"/>
        </w:rPr>
        <w:t>部门整体绩效评价报告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华文楷体" w:cs="Times New Roman"/>
          <w:sz w:val="32"/>
          <w:szCs w:val="32"/>
        </w:rPr>
      </w:pPr>
      <w:r>
        <w:rPr>
          <w:rFonts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4</w:t>
      </w:r>
      <w:r>
        <w:rPr>
          <w:rFonts w:ascii="Times New Roman" w:hAnsi="Times New Roman" w:eastAsia="仿宋" w:cs="Times New Roman"/>
          <w:sz w:val="32"/>
          <w:szCs w:val="32"/>
        </w:rPr>
        <w:t>年水务管理中心在区委区政府和区城管委的坚强领导下，</w:t>
      </w:r>
      <w:r>
        <w:rPr>
          <w:rFonts w:hint="eastAsia" w:ascii="Times New Roman" w:hAnsi="Times New Roman" w:eastAsia="仿宋" w:cs="Times New Roman"/>
          <w:sz w:val="32"/>
          <w:szCs w:val="32"/>
        </w:rPr>
        <w:t>认真贯彻</w:t>
      </w:r>
      <w:r>
        <w:rPr>
          <w:rFonts w:hint="eastAsia" w:ascii="Times New Roman" w:hAnsi="Times New Roman" w:eastAsia="仿宋" w:cs="Times New Roman"/>
          <w:sz w:val="32"/>
          <w:szCs w:val="32"/>
          <w:lang w:val="en-US" w:eastAsia="zh-CN"/>
        </w:rPr>
        <w:t>党的二十大、二十届二中、三中全会精神</w:t>
      </w:r>
      <w:r>
        <w:rPr>
          <w:rFonts w:hint="eastAsia" w:ascii="Times New Roman" w:hAnsi="Times New Roman" w:eastAsia="仿宋" w:cs="Times New Roman"/>
          <w:sz w:val="32"/>
          <w:szCs w:val="32"/>
        </w:rPr>
        <w:t>，践行习近平总书记</w:t>
      </w:r>
      <w:r>
        <w:rPr>
          <w:rFonts w:hint="eastAsia" w:ascii="Times New Roman" w:hAnsi="Times New Roman" w:eastAsia="仿宋" w:cs="Times New Roman"/>
          <w:sz w:val="32"/>
          <w:szCs w:val="32"/>
          <w:lang w:val="en-US" w:eastAsia="zh-CN"/>
        </w:rPr>
        <w:t>生态文明思想及</w:t>
      </w:r>
      <w:r>
        <w:rPr>
          <w:rFonts w:hint="eastAsia" w:ascii="Times New Roman" w:hAnsi="Times New Roman" w:eastAsia="仿宋" w:cs="Times New Roman"/>
          <w:sz w:val="32"/>
          <w:szCs w:val="32"/>
        </w:rPr>
        <w:t>治水重要论述，落实市、区政府各项决策部署，</w:t>
      </w:r>
      <w:r>
        <w:rPr>
          <w:rFonts w:ascii="Times New Roman" w:hAnsi="Times New Roman" w:eastAsia="仿宋" w:cs="Times New Roman"/>
          <w:sz w:val="32"/>
          <w:szCs w:val="32"/>
        </w:rPr>
        <w:t>围绕年度目标任务，扎实推进海绵城市建设，落实水务防汛专项分指职责等</w:t>
      </w:r>
      <w:r>
        <w:rPr>
          <w:rFonts w:hint="eastAsia" w:ascii="Times New Roman" w:hAnsi="Times New Roman" w:eastAsia="仿宋" w:cs="Times New Roman"/>
          <w:sz w:val="32"/>
          <w:szCs w:val="32"/>
        </w:rPr>
        <w:t>各项</w:t>
      </w:r>
      <w:r>
        <w:rPr>
          <w:rFonts w:ascii="Times New Roman" w:hAnsi="Times New Roman" w:eastAsia="仿宋" w:cs="Times New Roman"/>
          <w:sz w:val="32"/>
          <w:szCs w:val="32"/>
        </w:rPr>
        <w:t>工作</w:t>
      </w:r>
      <w:r>
        <w:rPr>
          <w:rFonts w:hint="eastAsia" w:ascii="Times New Roman" w:hAnsi="Times New Roman" w:eastAsia="仿宋" w:cs="Times New Roman"/>
          <w:sz w:val="32"/>
          <w:szCs w:val="32"/>
        </w:rPr>
        <w:t>，</w:t>
      </w:r>
      <w:r>
        <w:rPr>
          <w:rFonts w:ascii="Times New Roman" w:hAnsi="Times New Roman" w:eastAsia="仿宋" w:cs="Times New Roman"/>
          <w:sz w:val="32"/>
          <w:szCs w:val="32"/>
        </w:rPr>
        <w:t>强化党风廉政建设责任制落实，确保各项工作全面有序推进。现将工作完成情况汇报如下：</w:t>
      </w:r>
    </w:p>
    <w:p>
      <w:pPr>
        <w:pStyle w:val="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lang w:val="en-US" w:eastAsia="zh-CN"/>
        </w:rPr>
        <w:t>一是</w:t>
      </w:r>
      <w:r>
        <w:rPr>
          <w:rFonts w:hint="eastAsia" w:ascii="楷体" w:hAnsi="楷体" w:eastAsia="楷体" w:cs="楷体"/>
          <w:sz w:val="32"/>
          <w:szCs w:val="32"/>
        </w:rPr>
        <w:t>统筹推进海绵城市建设工作</w:t>
      </w:r>
    </w:p>
    <w:p>
      <w:pPr>
        <w:pStyle w:val="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1、</w:t>
      </w:r>
      <w:r>
        <w:rPr>
          <w:rFonts w:hint="default" w:ascii="Times New Roman" w:hAnsi="Times New Roman" w:eastAsia="仿宋" w:cs="Times New Roman"/>
          <w:sz w:val="32"/>
          <w:szCs w:val="32"/>
        </w:rPr>
        <w:t>按照《西城区推进海绵城市建设工作方案》要求，每季度召开一次西城区海绵城市联席会议，统筹推进全区海绵城市建设工作。</w:t>
      </w:r>
    </w:p>
    <w:p>
      <w:pPr>
        <w:pStyle w:val="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华文楷体" w:cs="Times New Roman"/>
          <w:sz w:val="32"/>
          <w:szCs w:val="32"/>
          <w:lang w:val="en-US" w:eastAsia="zh-CN"/>
        </w:rPr>
        <w:t>2、</w:t>
      </w:r>
      <w:r>
        <w:rPr>
          <w:rFonts w:hint="default" w:ascii="Times New Roman" w:hAnsi="Times New Roman" w:eastAsia="仿宋_GB2312" w:cs="Times New Roman"/>
          <w:sz w:val="32"/>
          <w:szCs w:val="32"/>
          <w:lang w:val="en-US" w:eastAsia="zh-CN"/>
        </w:rPr>
        <w:t>结合全区排水分区现状，以解决老旧小区及平房院落积水问题、满足生活需求为导向</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采取条块结合的形式，详细分析辖区适合开展海绵城市建设的区域，制定海绵专项建设任务及建设项目储备。针对海绵城市相对薄弱区域及具备典型示范性区域展开新的项目立项。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3、持续开展专项海绵城市建设工程。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kern w:val="2"/>
          <w:sz w:val="32"/>
          <w:szCs w:val="32"/>
          <w:lang w:val="en-US" w:eastAsia="zh-CN" w:bidi="ar-SA"/>
        </w:rPr>
      </w:pPr>
      <w:r>
        <w:rPr>
          <w:rFonts w:hint="eastAsia" w:ascii="楷体" w:hAnsi="楷体" w:eastAsia="楷体" w:cs="楷体"/>
          <w:kern w:val="2"/>
          <w:sz w:val="32"/>
          <w:szCs w:val="32"/>
          <w:lang w:val="en-US" w:eastAsia="zh-CN" w:bidi="ar-SA"/>
        </w:rPr>
        <w:t>二是开展汛前“清管行动”及溢流污水治理。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sz w:val="32"/>
          <w:szCs w:val="32"/>
        </w:rPr>
        <w:t>各街道办事处充分发挥属地力量，利用河长制工作机制，联合城管执法、社区、环卫、排水集团等全面开展清管行动，广泛动员社区工作者和物业工作人员积极参与到清管行动中来，随时发现随时清理。</w:t>
      </w:r>
      <w:r>
        <w:rPr>
          <w:rFonts w:hint="eastAsia" w:ascii="仿宋" w:hAnsi="仿宋" w:eastAsia="仿宋" w:cs="仿宋"/>
          <w:sz w:val="32"/>
          <w:szCs w:val="32"/>
          <w:lang w:val="en-US" w:eastAsia="zh-CN"/>
        </w:rPr>
        <w:t>圆满完成“清管行动”工作任务，</w:t>
      </w:r>
      <w:r>
        <w:rPr>
          <w:rFonts w:hint="eastAsia" w:ascii="仿宋_GB2312" w:hAnsi="仿宋_GB2312" w:eastAsia="仿宋_GB2312" w:cs="仿宋_GB2312"/>
          <w:sz w:val="32"/>
          <w:szCs w:val="32"/>
        </w:rPr>
        <w:t>通过排查、清掏、治理畅通了城市“血脉”，保障汛期排水通畅，减少垃圾入河，维护首都核心区的优美河湖水环境</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lang w:eastAsia="zh-CN"/>
        </w:rPr>
        <w:t>为西城安全渡汛提供保障。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eastAsia="zh-CN"/>
        </w:rPr>
      </w:pPr>
      <w:r>
        <w:rPr>
          <w:rFonts w:hint="eastAsia" w:ascii="楷体" w:hAnsi="楷体" w:eastAsia="楷体" w:cs="楷体"/>
          <w:kern w:val="2"/>
          <w:sz w:val="32"/>
          <w:szCs w:val="32"/>
          <w:lang w:val="en-US" w:eastAsia="zh-CN" w:bidi="ar-SA"/>
        </w:rPr>
        <w:t>三是落实水务防汛专项分指职责。</w:t>
      </w:r>
      <w:r>
        <w:rPr>
          <w:rFonts w:hint="eastAsia" w:ascii="仿宋" w:hAnsi="仿宋" w:eastAsia="仿宋"/>
          <w:sz w:val="32"/>
          <w:szCs w:val="32"/>
        </w:rPr>
        <w:t>面对今年汛期的严峻形势，</w:t>
      </w:r>
      <w:r>
        <w:rPr>
          <w:rFonts w:hint="eastAsia" w:ascii="仿宋" w:hAnsi="仿宋" w:eastAsia="仿宋" w:cs="Times New Roman"/>
          <w:sz w:val="32"/>
          <w:szCs w:val="32"/>
        </w:rPr>
        <w:t>成立水旱灾害防御工作领导小组，明确水旱灾害防御工作责任制，更新水旱灾害防御工作通讯录，统计排水集团一分公司防汛物资储备及应急抢险队伍落实情况。按照市水务局和区防汛办要求上报202</w:t>
      </w:r>
      <w:r>
        <w:rPr>
          <w:rFonts w:hint="eastAsia" w:ascii="仿宋" w:hAnsi="仿宋" w:eastAsia="仿宋" w:cs="Times New Roman"/>
          <w:sz w:val="32"/>
          <w:szCs w:val="32"/>
          <w:lang w:val="en-US" w:eastAsia="zh-CN"/>
        </w:rPr>
        <w:t>4</w:t>
      </w:r>
      <w:r>
        <w:rPr>
          <w:rFonts w:hint="eastAsia" w:ascii="仿宋" w:hAnsi="仿宋" w:eastAsia="仿宋" w:cs="Times New Roman"/>
          <w:sz w:val="32"/>
          <w:szCs w:val="32"/>
        </w:rPr>
        <w:t>年水旱灾害防御责任制和相关基础资料</w:t>
      </w:r>
      <w:r>
        <w:rPr>
          <w:rFonts w:hint="eastAsia" w:ascii="仿宋" w:hAnsi="仿宋" w:eastAsia="仿宋"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华文楷体" w:hAnsi="华文楷体" w:eastAsia="华文楷体" w:cs="华文楷体"/>
          <w:sz w:val="32"/>
          <w:szCs w:val="32"/>
          <w:lang w:val="en-US" w:eastAsia="zh-CN"/>
        </w:rPr>
      </w:pPr>
      <w:r>
        <w:rPr>
          <w:rFonts w:hint="eastAsia" w:ascii="仿宋" w:hAnsi="仿宋" w:eastAsia="仿宋" w:cs="Times New Roman"/>
          <w:sz w:val="32"/>
          <w:szCs w:val="32"/>
          <w:lang w:val="en-US" w:eastAsia="zh-CN"/>
        </w:rPr>
        <w:t>主管领导带队对辖区内排水集团一分公司管理的广安门桥泵站、北展桥泵站以及公联公司管理的京九铁路桥泵站、手帕口北街立交涵洞泵站进行汛前安全检查，联合区防汛办对辖区内部分街道进行汛前安全检查，确保防汛工作横向到边、纵向到底，实现精准实施、精准落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根据今年雨情，区水务防汛专项分指严格落实24小时值班值守制度，及时处理上报各类防汛信息，排水集团一分、区属道路应急队伍按响应开展巡查抢险工作。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楷体" w:hAnsi="楷体" w:eastAsia="楷体" w:cs="楷体"/>
          <w:kern w:val="2"/>
          <w:sz w:val="32"/>
          <w:szCs w:val="32"/>
          <w:lang w:val="en-US" w:eastAsia="zh-CN" w:bidi="ar-SA"/>
        </w:rPr>
        <w:t>四是完成第二轮北京市生态环境保护督察整改销号工作。</w:t>
      </w:r>
      <w:r>
        <w:rPr>
          <w:rFonts w:hint="eastAsia" w:ascii="仿宋_GB2312" w:eastAsia="仿宋_GB2312"/>
          <w:sz w:val="32"/>
          <w:szCs w:val="32"/>
          <w:lang w:val="en-US" w:eastAsia="zh-CN"/>
        </w:rPr>
        <w:t>水务管理中心</w:t>
      </w:r>
      <w:r>
        <w:rPr>
          <w:rFonts w:hint="eastAsia" w:ascii="仿宋_GB2312" w:eastAsia="仿宋_GB2312"/>
          <w:sz w:val="32"/>
          <w:szCs w:val="32"/>
        </w:rPr>
        <w:t>牵头负责的第二轮北京市生态环境保护督察反馈意见第</w:t>
      </w:r>
      <w:r>
        <w:rPr>
          <w:rFonts w:hint="eastAsia" w:ascii="仿宋_GB2312" w:eastAsia="仿宋_GB2312"/>
          <w:sz w:val="32"/>
          <w:szCs w:val="32"/>
          <w:lang w:val="en-US" w:eastAsia="zh-CN"/>
        </w:rPr>
        <w:t>十五</w:t>
      </w:r>
      <w:r>
        <w:rPr>
          <w:rFonts w:hint="eastAsia" w:ascii="仿宋_GB2312" w:eastAsia="仿宋_GB2312"/>
          <w:sz w:val="32"/>
          <w:szCs w:val="32"/>
        </w:rPr>
        <w:t>项任务，已</w:t>
      </w:r>
      <w:r>
        <w:rPr>
          <w:rFonts w:hint="eastAsia" w:ascii="仿宋_GB2312" w:eastAsia="仿宋_GB2312"/>
          <w:sz w:val="32"/>
          <w:szCs w:val="32"/>
          <w:lang w:val="en-US" w:eastAsia="zh-CN"/>
        </w:rPr>
        <w:t>按要求</w:t>
      </w:r>
      <w:r>
        <w:rPr>
          <w:rFonts w:hint="eastAsia" w:ascii="仿宋_GB2312" w:eastAsia="仿宋_GB2312"/>
          <w:sz w:val="32"/>
          <w:szCs w:val="32"/>
        </w:rPr>
        <w:t>整改完成，并通过自查、审查</w:t>
      </w:r>
      <w:r>
        <w:rPr>
          <w:rFonts w:hint="eastAsia" w:ascii="仿宋_GB2312" w:eastAsia="仿宋_GB2312"/>
          <w:sz w:val="32"/>
          <w:szCs w:val="32"/>
          <w:lang w:val="en-US" w:eastAsia="zh-CN"/>
        </w:rPr>
        <w:t>完成销号。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水务管理中心按照环保督察整改要求，进一步加强洗车行业巡查力度和台账统计，通过联系街道、日常巡查、软件搜索等形式保持台账及时更新。</w:t>
      </w:r>
    </w:p>
    <w:p>
      <w:pPr>
        <w:keepNext w:val="0"/>
        <w:keepLines w:val="0"/>
        <w:pageBreakBefore w:val="0"/>
        <w:widowControl w:val="0"/>
        <w:tabs>
          <w:tab w:val="left" w:pos="745"/>
        </w:tabs>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楷体" w:hAnsi="楷体" w:eastAsia="楷体" w:cs="楷体"/>
          <w:kern w:val="2"/>
          <w:sz w:val="32"/>
          <w:szCs w:val="32"/>
          <w:lang w:val="en-US" w:eastAsia="zh-CN" w:bidi="ar-SA"/>
        </w:rPr>
        <w:t>五是落实“接诉即办、未诉先办”工作。</w:t>
      </w:r>
      <w:r>
        <w:rPr>
          <w:rFonts w:hint="eastAsia" w:ascii="仿宋" w:hAnsi="仿宋" w:eastAsia="仿宋" w:cs="仿宋_GB2312"/>
          <w:sz w:val="32"/>
          <w:szCs w:val="32"/>
        </w:rPr>
        <w:t>切实维护首都功能核心区社会稳定和城市运行安全</w:t>
      </w:r>
      <w:r>
        <w:rPr>
          <w:rFonts w:hint="eastAsia" w:ascii="仿宋" w:hAnsi="仿宋" w:eastAsia="仿宋"/>
          <w:sz w:val="32"/>
          <w:szCs w:val="32"/>
        </w:rPr>
        <w:t>，本着提升人民群众的幸福感、获得感、满意度</w:t>
      </w:r>
      <w:r>
        <w:rPr>
          <w:rFonts w:hint="eastAsia" w:ascii="仿宋" w:hAnsi="仿宋" w:eastAsia="仿宋"/>
          <w:sz w:val="32"/>
          <w:szCs w:val="32"/>
          <w:lang w:val="en-US" w:eastAsia="zh-CN"/>
        </w:rPr>
        <w:t>为</w:t>
      </w:r>
      <w:r>
        <w:rPr>
          <w:rFonts w:hint="eastAsia" w:ascii="仿宋" w:hAnsi="仿宋" w:eastAsia="仿宋"/>
          <w:sz w:val="32"/>
          <w:szCs w:val="32"/>
        </w:rPr>
        <w:t>办案宗旨，细致耐心的办理每一件案件，努力达到热线办理工作的最高标准。</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0"/>
        <w:textAlignment w:val="auto"/>
        <w:rPr>
          <w:rFonts w:hint="eastAsia" w:ascii="黑体" w:eastAsia="黑体"/>
          <w:sz w:val="32"/>
          <w:szCs w:val="32"/>
        </w:rPr>
      </w:pPr>
      <w:bookmarkStart w:id="0" w:name="_GoBack"/>
      <w:bookmarkEnd w:id="0"/>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水务管理中心将继续学习贯彻习近平新时代中国特色社会主义思想，对照十四五规划梳理各项工作任务。重点推进西城区海绵城市建设，统筹各成员单位落地海绵要素，结合城市更新继续推广平房院落和老旧小区海绵城市改造</w:t>
      </w:r>
      <w:r>
        <w:rPr>
          <w:rFonts w:hint="eastAsia" w:ascii="仿宋" w:hAnsi="仿宋" w:eastAsia="仿宋"/>
          <w:sz w:val="32"/>
          <w:szCs w:val="32"/>
          <w:lang w:eastAsia="zh-CN"/>
        </w:rPr>
        <w:t>，</w:t>
      </w:r>
      <w:r>
        <w:rPr>
          <w:rFonts w:hint="eastAsia" w:ascii="仿宋" w:hAnsi="仿宋" w:eastAsia="仿宋"/>
          <w:sz w:val="32"/>
          <w:szCs w:val="32"/>
          <w:lang w:val="en-US" w:eastAsia="zh-CN"/>
        </w:rPr>
        <w:t>与各街道办事处探索海绵城市建设新形式</w:t>
      </w:r>
      <w:r>
        <w:rPr>
          <w:rFonts w:hint="eastAsia" w:ascii="仿宋" w:hAnsi="仿宋" w:eastAsia="仿宋"/>
          <w:sz w:val="32"/>
          <w:szCs w:val="32"/>
        </w:rPr>
        <w:t>。总结今年防汛经验，提前谋划水务防汛专项工作，继续开展汛前“清管行动”，做好极端强降雨的应对。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rPr>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3</w:t>
    </w:r>
    <w: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5</w: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15</w:t>
    </w:r>
    <w: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AEC0734"/>
    <w:rsid w:val="1BA462E1"/>
    <w:rsid w:val="1DEF20B0"/>
    <w:rsid w:val="214243FA"/>
    <w:rsid w:val="21AD613C"/>
    <w:rsid w:val="22467189"/>
    <w:rsid w:val="257A14F5"/>
    <w:rsid w:val="27196C26"/>
    <w:rsid w:val="29EF086F"/>
    <w:rsid w:val="2C75648A"/>
    <w:rsid w:val="2EFFE297"/>
    <w:rsid w:val="301437CA"/>
    <w:rsid w:val="349D1F0A"/>
    <w:rsid w:val="34DD0473"/>
    <w:rsid w:val="3C684897"/>
    <w:rsid w:val="433E495C"/>
    <w:rsid w:val="489F2FD7"/>
    <w:rsid w:val="4AC27CB3"/>
    <w:rsid w:val="4BF72BEF"/>
    <w:rsid w:val="4FA90297"/>
    <w:rsid w:val="4FC41A43"/>
    <w:rsid w:val="51DB3C59"/>
    <w:rsid w:val="550C0952"/>
    <w:rsid w:val="55762E42"/>
    <w:rsid w:val="57A7B272"/>
    <w:rsid w:val="58470068"/>
    <w:rsid w:val="58747CAC"/>
    <w:rsid w:val="5A1720F9"/>
    <w:rsid w:val="5B9C37C2"/>
    <w:rsid w:val="5BA7C654"/>
    <w:rsid w:val="60A54109"/>
    <w:rsid w:val="61D01CDF"/>
    <w:rsid w:val="64C0607C"/>
    <w:rsid w:val="65756C86"/>
    <w:rsid w:val="674D385B"/>
    <w:rsid w:val="676F09E1"/>
    <w:rsid w:val="71793A80"/>
    <w:rsid w:val="7357290B"/>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Plain Text"/>
    <w:basedOn w:val="1"/>
    <w:qFormat/>
    <w:uiPriority w:val="0"/>
    <w:rPr>
      <w:rFonts w:ascii="宋体" w:hAnsi="Courier New"/>
    </w:rPr>
  </w:style>
  <w:style w:type="paragraph" w:styleId="6">
    <w:name w:val="Date"/>
    <w:basedOn w:val="1"/>
    <w:next w:val="1"/>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15"/>
    <w:qFormat/>
    <w:uiPriority w:val="0"/>
    <w:pPr>
      <w:tabs>
        <w:tab w:val="center" w:pos="4153"/>
        <w:tab w:val="right" w:pos="8306"/>
      </w:tabs>
      <w:snapToGrid w:val="0"/>
      <w:jc w:val="left"/>
    </w:pPr>
    <w:rPr>
      <w:sz w:val="18"/>
      <w:szCs w:val="18"/>
    </w:rPr>
  </w:style>
  <w:style w:type="paragraph" w:styleId="9">
    <w:name w:val="header"/>
    <w:basedOn w:val="1"/>
    <w:link w:val="16"/>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0">
    <w:name w:val="Normal (Web)"/>
    <w:basedOn w:val="1"/>
    <w:unhideWhenUsed/>
    <w:qFormat/>
    <w:uiPriority w:val="0"/>
    <w:pPr>
      <w:spacing w:before="100" w:beforeAutospacing="1" w:after="100" w:afterAutospacing="1"/>
      <w:ind w:right="238"/>
      <w:jc w:val="left"/>
    </w:pPr>
    <w:rPr>
      <w:b/>
      <w:kern w:val="0"/>
      <w:sz w:val="24"/>
      <w:szCs w:val="20"/>
    </w:rPr>
  </w:style>
  <w:style w:type="character" w:styleId="13">
    <w:name w:val="Strong"/>
    <w:qFormat/>
    <w:uiPriority w:val="0"/>
    <w:rPr>
      <w:b/>
    </w:rPr>
  </w:style>
  <w:style w:type="character" w:styleId="14">
    <w:name w:val="page number"/>
    <w:qFormat/>
    <w:uiPriority w:val="0"/>
  </w:style>
  <w:style w:type="character" w:customStyle="1" w:styleId="15">
    <w:name w:val="页脚 Char"/>
    <w:link w:val="8"/>
    <w:qFormat/>
    <w:uiPriority w:val="0"/>
    <w:rPr>
      <w:rFonts w:eastAsia="宋体"/>
      <w:kern w:val="2"/>
      <w:sz w:val="18"/>
      <w:szCs w:val="18"/>
      <w:lang w:val="en-US" w:eastAsia="zh-CN" w:bidi="ar-SA"/>
    </w:rPr>
  </w:style>
  <w:style w:type="character" w:customStyle="1" w:styleId="16">
    <w:name w:val="页眉 Char"/>
    <w:link w:val="9"/>
    <w:qFormat/>
    <w:uiPriority w:val="0"/>
    <w:rPr>
      <w:rFonts w:ascii="Calibri" w:hAnsi="Calibri" w:eastAsia="宋体"/>
      <w:kern w:val="2"/>
      <w:sz w:val="18"/>
      <w:szCs w:val="18"/>
      <w:lang w:val="en-US" w:eastAsia="zh-CN" w:bidi="ar-SA"/>
    </w:rPr>
  </w:style>
  <w:style w:type="paragraph" w:customStyle="1" w:styleId="17">
    <w:name w:val="Char Char Char Char Char Char Char"/>
    <w:basedOn w:val="1"/>
    <w:qFormat/>
    <w:uiPriority w:val="0"/>
    <w:rPr>
      <w:rFonts w:ascii="Tahoma" w:hAnsi="Tahoma"/>
      <w:sz w:val="24"/>
      <w:szCs w:val="20"/>
    </w:rPr>
  </w:style>
  <w:style w:type="paragraph" w:customStyle="1" w:styleId="18">
    <w:name w:val="Char1 Char Char Char"/>
    <w:basedOn w:val="1"/>
    <w:qFormat/>
    <w:uiPriority w:val="0"/>
    <w:pPr>
      <w:widowControl/>
      <w:spacing w:after="160" w:line="240" w:lineRule="exact"/>
      <w:jc w:val="left"/>
    </w:pPr>
    <w:rPr>
      <w:szCs w:val="20"/>
    </w:rPr>
  </w:style>
  <w:style w:type="paragraph" w:customStyle="1" w:styleId="19">
    <w:name w:val="Char"/>
    <w:basedOn w:val="1"/>
    <w:qFormat/>
    <w:uiPriority w:val="0"/>
    <w:rPr>
      <w:rFonts w:ascii="Tahoma" w:hAnsi="Tahoma"/>
      <w:sz w:val="24"/>
      <w:szCs w:val="20"/>
    </w:rPr>
  </w:style>
  <w:style w:type="paragraph" w:customStyle="1" w:styleId="20">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3432</Words>
  <Characters>5781</Characters>
  <Lines>44</Lines>
  <Paragraphs>12</Paragraphs>
  <TotalTime>6</TotalTime>
  <ScaleCrop>false</ScaleCrop>
  <LinksUpToDate>false</LinksUpToDate>
  <CharactersWithSpaces>5802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admin</cp:lastModifiedBy>
  <cp:lastPrinted>2020-08-07T11:39:00Z</cp:lastPrinted>
  <dcterms:modified xsi:type="dcterms:W3CDTF">2025-08-27T08:24:16Z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435078ACFECC4A5A8A519EF4C3681114_13</vt:lpwstr>
  </property>
  <property fmtid="{D5CDD505-2E9C-101B-9397-08002B2CF9AE}" pid="4" name="KSOTemplateDocerSaveRecord">
    <vt:lpwstr>eyJoZGlkIjoiMzFhMDlmODM4NDM3ZTUzZTJhOWRjZWIxNmVkMjQxNTMiLCJ1c2VySWQiOiIxMTQwMjc4MDE0In0=</vt:lpwstr>
  </property>
</Properties>
</file>