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宋体" w:cs="Times New Roman"/>
          <w:sz w:val="52"/>
          <w:szCs w:val="52"/>
        </w:rPr>
      </w:pPr>
      <w:bookmarkStart w:id="0" w:name="_Toc380588482"/>
      <w:bookmarkStart w:id="1" w:name="_Toc396293517"/>
      <w:r>
        <w:rPr>
          <w:rFonts w:hint="eastAsia" w:ascii="Times New Roman" w:hAnsi="Times New Roman" w:eastAsia="宋体" w:cs="Times New Roman"/>
          <w:b/>
          <w:sz w:val="52"/>
          <w:szCs w:val="52"/>
        </w:rPr>
        <w:t>西城区项目支出绩效报告</w:t>
      </w:r>
      <w:bookmarkEnd w:id="0"/>
      <w:bookmarkEnd w:id="1"/>
    </w:p>
    <w:p>
      <w:pPr>
        <w:adjustRightInd w:val="0"/>
        <w:snapToGrid w:val="0"/>
        <w:spacing w:before="100" w:beforeAutospacing="1" w:after="100" w:afterAutospacing="1" w:line="312" w:lineRule="auto"/>
        <w:ind w:firstLine="600"/>
        <w:jc w:val="center"/>
        <w:rPr>
          <w:rFonts w:ascii="仿宋_GB2312" w:hAnsi="Times New Roman" w:eastAsia="宋体" w:cs="Times New Roman"/>
          <w:sz w:val="30"/>
          <w:szCs w:val="30"/>
        </w:rPr>
      </w:pPr>
    </w:p>
    <w:p>
      <w:pPr>
        <w:spacing w:before="100" w:beforeAutospacing="1" w:after="100" w:afterAutospacing="1" w:line="312" w:lineRule="auto"/>
        <w:jc w:val="center"/>
        <w:rPr>
          <w:rFonts w:ascii="仿宋_GB2312" w:hAnsi="宋体" w:eastAsia="宋体" w:cs="Times New Roman"/>
          <w:sz w:val="32"/>
          <w:szCs w:val="32"/>
        </w:rPr>
      </w:pPr>
      <w:r>
        <w:rPr>
          <w:rFonts w:hint="eastAsia" w:ascii="仿宋_GB2312" w:hAnsi="宋体" w:eastAsia="宋体" w:cs="Times New Roman"/>
          <w:sz w:val="32"/>
          <w:szCs w:val="32"/>
        </w:rPr>
        <w:t>（</w:t>
      </w:r>
      <w:r>
        <w:rPr>
          <w:rFonts w:ascii="仿宋_GB2312" w:hAnsi="宋体" w:eastAsia="宋体" w:cs="Times New Roman"/>
          <w:sz w:val="32"/>
          <w:szCs w:val="32"/>
        </w:rPr>
        <w:t>202</w:t>
      </w:r>
      <w:r>
        <w:rPr>
          <w:rFonts w:hint="eastAsia" w:ascii="仿宋_GB2312" w:hAnsi="宋体" w:eastAsia="宋体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宋体" w:cs="Times New Roman"/>
          <w:sz w:val="32"/>
          <w:szCs w:val="32"/>
        </w:rPr>
        <w:t>年度）</w:t>
      </w: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899" w:firstLineChars="281"/>
        <w:rPr>
          <w:rFonts w:ascii="仿宋_GB2312" w:hAnsi="宋体" w:eastAsia="宋体" w:cs="Times New Roman"/>
          <w:sz w:val="32"/>
          <w:szCs w:val="32"/>
          <w:u w:val="single"/>
        </w:rPr>
      </w:pPr>
    </w:p>
    <w:p>
      <w:pPr>
        <w:spacing w:before="100" w:beforeAutospacing="1" w:after="100" w:afterAutospacing="1" w:line="312" w:lineRule="auto"/>
        <w:ind w:firstLine="899" w:firstLineChars="281"/>
        <w:rPr>
          <w:rFonts w:ascii="仿宋_GB2312" w:hAnsi="宋体" w:eastAsia="宋体" w:cs="Times New Roman"/>
          <w:sz w:val="32"/>
          <w:szCs w:val="32"/>
        </w:rPr>
      </w:pPr>
      <w:r>
        <w:rPr>
          <w:rFonts w:hint="eastAsia" w:ascii="仿宋_GB2312" w:hAnsi="宋体" w:eastAsia="宋体" w:cs="Times New Roman"/>
          <w:sz w:val="32"/>
          <w:szCs w:val="32"/>
        </w:rPr>
        <w:t>部门名称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    </w:t>
      </w:r>
      <w:r>
        <w:rPr>
          <w:rFonts w:hint="eastAsia" w:ascii="仿宋_GB2312" w:hAnsi="宋体" w:eastAsia="宋体" w:cs="Times New Roman"/>
          <w:sz w:val="32"/>
          <w:szCs w:val="32"/>
          <w:u w:val="single"/>
          <w:lang w:eastAsia="zh-CN"/>
        </w:rPr>
        <w:t>北京市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西城区城市管理委员会        </w:t>
      </w:r>
    </w:p>
    <w:p>
      <w:pPr>
        <w:spacing w:before="100" w:beforeAutospacing="1" w:after="100" w:afterAutospacing="1" w:line="312" w:lineRule="auto"/>
        <w:ind w:left="2092" w:leftChars="390" w:hanging="1273" w:hangingChars="398"/>
        <w:rPr>
          <w:rFonts w:ascii="仿宋_GB2312" w:hAnsi="宋体" w:eastAsia="宋体" w:cs="Times New Roman"/>
          <w:sz w:val="32"/>
          <w:szCs w:val="32"/>
        </w:rPr>
      </w:pPr>
      <w:r>
        <w:rPr>
          <w:rFonts w:hint="eastAsia" w:ascii="仿宋_GB2312" w:hAnsi="宋体" w:eastAsia="宋体" w:cs="Times New Roman"/>
          <w:sz w:val="32"/>
          <w:szCs w:val="32"/>
        </w:rPr>
        <w:t>项目名称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2022年金融街区域交通智能化水平提升项目（配套设施和项目配套施工） </w:t>
      </w:r>
      <w:r>
        <w:rPr>
          <w:rFonts w:hint="eastAsia" w:ascii="仿宋_GB2312" w:hAnsi="宋体" w:eastAsia="宋体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  </w:t>
      </w:r>
    </w:p>
    <w:p>
      <w:pPr>
        <w:spacing w:before="100" w:beforeAutospacing="1" w:after="100" w:afterAutospacing="1" w:line="312" w:lineRule="auto"/>
        <w:ind w:firstLine="899" w:firstLineChars="281"/>
        <w:rPr>
          <w:rFonts w:ascii="仿宋_GB2312" w:hAnsi="宋体" w:eastAsia="宋体" w:cs="Times New Roman"/>
          <w:sz w:val="32"/>
          <w:szCs w:val="32"/>
          <w:u w:val="single"/>
        </w:rPr>
      </w:pPr>
      <w:r>
        <w:rPr>
          <w:rFonts w:hint="eastAsia" w:ascii="仿宋_GB2312" w:hAnsi="宋体" w:eastAsia="宋体" w:cs="Times New Roman"/>
          <w:sz w:val="32"/>
          <w:szCs w:val="32"/>
        </w:rPr>
        <w:t>填报日期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         </w:t>
      </w:r>
      <w:r>
        <w:rPr>
          <w:rFonts w:hint="eastAsia" w:ascii="仿宋_GB2312" w:hAnsi="宋体" w:eastAsia="宋体" w:cs="Times New Roman"/>
          <w:sz w:val="32"/>
          <w:szCs w:val="32"/>
          <w:u w:val="single"/>
          <w:lang w:val="en-US" w:eastAsia="zh-CN"/>
        </w:rPr>
        <w:t>2025年4月24日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        </w:t>
      </w:r>
    </w:p>
    <w:p>
      <w:pPr>
        <w:jc w:val="center"/>
        <w:rPr>
          <w:rFonts w:ascii="Arial" w:hAnsi="Arial" w:eastAsia="宋体" w:cs="Arial"/>
          <w:b/>
          <w:bCs/>
          <w:sz w:val="36"/>
          <w:szCs w:val="36"/>
        </w:rPr>
      </w:pPr>
      <w:r>
        <w:rPr>
          <w:rFonts w:ascii="仿宋_GB2312" w:hAnsi="宋体" w:eastAsia="宋体" w:cs="Times New Roman"/>
          <w:sz w:val="32"/>
          <w:szCs w:val="32"/>
          <w:u w:val="single"/>
        </w:rPr>
        <w:br w:type="page"/>
      </w:r>
      <w:r>
        <w:rPr>
          <w:rFonts w:hint="eastAsia" w:ascii="宋体" w:hAnsi="宋体" w:eastAsia="宋体" w:cs="Arial"/>
          <w:b/>
          <w:bCs/>
          <w:sz w:val="36"/>
          <w:szCs w:val="36"/>
        </w:rPr>
        <w:t>项目支出</w:t>
      </w:r>
      <w:r>
        <w:rPr>
          <w:rFonts w:ascii="宋体" w:hAnsi="宋体" w:eastAsia="宋体" w:cs="Arial"/>
          <w:b/>
          <w:bCs/>
          <w:sz w:val="36"/>
          <w:szCs w:val="36"/>
        </w:rPr>
        <w:t>绩效</w:t>
      </w:r>
      <w:r>
        <w:rPr>
          <w:rFonts w:hint="eastAsia" w:ascii="宋体" w:hAnsi="宋体" w:eastAsia="宋体" w:cs="Arial"/>
          <w:b/>
          <w:bCs/>
          <w:sz w:val="36"/>
          <w:szCs w:val="36"/>
        </w:rPr>
        <w:t>评价报告</w:t>
      </w:r>
    </w:p>
    <w:p>
      <w:pPr>
        <w:jc w:val="center"/>
        <w:rPr>
          <w:rFonts w:ascii="仿宋_GB2312" w:hAnsi="Times New Roman" w:eastAsia="宋体" w:cs="Times New Roman"/>
          <w:szCs w:val="30"/>
        </w:rPr>
      </w:pP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一、基本情况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（一）项目概况。包括项目背景、主要内容及实施情况、资金投入和使用情况等。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1、项目背景</w:t>
      </w:r>
    </w:p>
    <w:p>
      <w:pPr>
        <w:pStyle w:val="8"/>
        <w:spacing w:before="156" w:after="156"/>
        <w:ind w:firstLine="480"/>
      </w:pPr>
      <w:r>
        <w:rPr>
          <w:rFonts w:hint="eastAsia"/>
        </w:rPr>
        <w:t>基于金融街区域高端商务区、商业区的定位，对区域内交通环境、出行体验提出了很高的要求。以车为本</w:t>
      </w:r>
      <w:bookmarkStart w:id="2" w:name="_GoBack"/>
      <w:bookmarkEnd w:id="2"/>
      <w:r>
        <w:rPr>
          <w:rFonts w:hint="eastAsia"/>
        </w:rPr>
        <w:t>向以人为本的转变，科技手段更多的服务于慢行交通、静态交通、交通安全以及城市环境改善等；注重交通功能到注重区域内协调发展的转变，科技手段不仅要服务于区域内交通效率的提升，还要在公共场所营造、区域活力提升等方面发挥积极的作用。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2、建设内容及实施情况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建设主动发光标志263块，主要包括金融大街、太平桥大街沿线道路指示牌、重要路口行人指示标志、行人警示标志，月坛南桥、月坛北桥桥区标志标牌，包括设备安装调试、挖沟回填、垃圾处置等工程内容。项目实施情况如下：</w:t>
      </w:r>
    </w:p>
    <w:tbl>
      <w:tblPr>
        <w:tblStyle w:val="4"/>
        <w:tblW w:w="73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2636"/>
        <w:gridCol w:w="392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2"/>
              </w:rPr>
              <w:t>项目阶段</w:t>
            </w:r>
          </w:p>
        </w:tc>
        <w:tc>
          <w:tcPr>
            <w:tcW w:w="3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2"/>
              </w:rPr>
              <w:t>时间节点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启动招投标</w:t>
            </w:r>
          </w:p>
        </w:tc>
        <w:tc>
          <w:tcPr>
            <w:tcW w:w="3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2023年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5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月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9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中标</w:t>
            </w:r>
          </w:p>
        </w:tc>
        <w:tc>
          <w:tcPr>
            <w:tcW w:w="3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2023年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5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月2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9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合同签订</w:t>
            </w:r>
          </w:p>
        </w:tc>
        <w:tc>
          <w:tcPr>
            <w:tcW w:w="3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2023年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6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月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6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深化设计及施工准备阶段</w:t>
            </w:r>
          </w:p>
        </w:tc>
        <w:tc>
          <w:tcPr>
            <w:tcW w:w="3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023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年6月7日-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2023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年8月7日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施工阶段</w:t>
            </w:r>
          </w:p>
        </w:tc>
        <w:tc>
          <w:tcPr>
            <w:tcW w:w="3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023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年8月7日-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2023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年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/>
              </w:rPr>
              <w:t>11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月7日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验收、交工阶段</w:t>
            </w:r>
          </w:p>
        </w:tc>
        <w:tc>
          <w:tcPr>
            <w:tcW w:w="3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02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年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/>
              </w:rPr>
              <w:t>12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试运行阶段</w:t>
            </w:r>
          </w:p>
        </w:tc>
        <w:tc>
          <w:tcPr>
            <w:tcW w:w="3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023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年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/>
              </w:rPr>
              <w:t>12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月-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202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年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1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项目终验</w:t>
            </w:r>
          </w:p>
        </w:tc>
        <w:tc>
          <w:tcPr>
            <w:tcW w:w="3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02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年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月</w:t>
            </w:r>
          </w:p>
        </w:tc>
      </w:tr>
    </w:tbl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3、资金投入和使用情况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项目按照区委区政府相关管理制度要求进行了预算申报和评审。项目立项批复5</w:t>
      </w:r>
      <w:r>
        <w:rPr>
          <w:rFonts w:ascii="宋体" w:hAnsi="宋体" w:eastAsia="宋体" w:cs="宋体"/>
          <w:sz w:val="22"/>
        </w:rPr>
        <w:t>,107,951.27</w:t>
      </w:r>
      <w:r>
        <w:rPr>
          <w:rFonts w:hint="eastAsia" w:ascii="宋体" w:hAnsi="宋体" w:eastAsia="宋体" w:cs="宋体"/>
          <w:sz w:val="22"/>
        </w:rPr>
        <w:t>元，202</w:t>
      </w:r>
      <w:r>
        <w:rPr>
          <w:rFonts w:hint="eastAsia" w:ascii="宋体" w:hAnsi="宋体" w:eastAsia="宋体" w:cs="宋体"/>
          <w:sz w:val="22"/>
          <w:lang w:val="en-US" w:eastAsia="zh-CN"/>
        </w:rPr>
        <w:t>4</w:t>
      </w:r>
      <w:r>
        <w:rPr>
          <w:rFonts w:hint="eastAsia" w:ascii="宋体" w:hAnsi="宋体" w:eastAsia="宋体" w:cs="宋体"/>
          <w:sz w:val="22"/>
        </w:rPr>
        <w:t>年</w:t>
      </w:r>
      <w:r>
        <w:rPr>
          <w:rFonts w:hint="eastAsia" w:ascii="宋体" w:hAnsi="宋体" w:eastAsia="宋体" w:cs="宋体"/>
          <w:sz w:val="22"/>
          <w:lang w:eastAsia="zh-CN"/>
        </w:rPr>
        <w:t>出预算安排</w:t>
      </w:r>
      <w:r>
        <w:rPr>
          <w:rFonts w:hint="eastAsia" w:ascii="宋体" w:hAnsi="宋体" w:eastAsia="宋体" w:cs="宋体"/>
          <w:sz w:val="22"/>
          <w:lang w:val="en-US" w:eastAsia="zh-CN"/>
        </w:rPr>
        <w:t>164.96万元，目前已</w:t>
      </w:r>
      <w:r>
        <w:rPr>
          <w:rFonts w:hint="eastAsia" w:ascii="宋体" w:hAnsi="宋体" w:eastAsia="宋体" w:cs="宋体"/>
          <w:sz w:val="22"/>
        </w:rPr>
        <w:t>支付</w:t>
      </w:r>
      <w:r>
        <w:rPr>
          <w:rFonts w:hint="eastAsia" w:ascii="宋体" w:hAnsi="宋体" w:eastAsia="宋体" w:cs="宋体"/>
          <w:sz w:val="22"/>
          <w:lang w:val="en-US" w:eastAsia="zh-CN"/>
        </w:rPr>
        <w:t>104.40万</w:t>
      </w:r>
      <w:r>
        <w:rPr>
          <w:rFonts w:hint="eastAsia" w:ascii="宋体" w:hAnsi="宋体" w:eastAsia="宋体" w:cs="宋体"/>
          <w:sz w:val="22"/>
        </w:rPr>
        <w:t>元。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（二）项目绩效目标。包括总体目标和阶段性目标。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1、总体目标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为金融街区域慢行交通、静态交通、交通安全以及城市环境改善提供道路指引及城市亮化服务。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2、阶段性目标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建设主动发光标志263块，主要包括金融大街、太平桥大街沿线道路指示牌、重要路口行人指示标志、行人警示标志，月坛南桥、月坛北桥桥区标志标牌，包括设备安装调试、挖沟回填、垃圾处置等工程内容。</w:t>
      </w: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二、绩效评价工作开展情况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（一）绩效评价目的、对象和范围。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严格按照区财政局相关政策法规要求，严格按照《预算法》强化支出责任，根据项目实际效果对比评价项目绩效目标的完成情况。评价的对象和范围是“2022年金融街区域交通智能化水平提升项目（配套设施和项目配套施工）”项目。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（二）绩效评价原则、评价指标体系（附表说明）、评价方法、评价标准等。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本着客观公正和有效性原则，按照设定的指标体系，单位中层以上干部参与评价，并从各科室抽选人员进行打分，由项目负责人进行梳理并整改。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（三）绩效评价工作过程。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1.前期准备。成立部门绩效评价小组，学习评价指标体系和相关文件通知内容。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2.组织实施。按照规定的工作程序组织绩效评价自评，注重评价质量，撰写绩效评价报告。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3.分析评价。对评价结果进行整改，充分运用分析评价进行引领。</w:t>
      </w:r>
    </w:p>
    <w:p>
      <w:pPr>
        <w:spacing w:line="600" w:lineRule="exact"/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三、综合评价情况及评价结论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sz w:val="22"/>
          <w:lang w:eastAsia="zh-CN"/>
        </w:rPr>
      </w:pPr>
      <w:r>
        <w:rPr>
          <w:rFonts w:hint="eastAsia" w:ascii="宋体" w:hAnsi="宋体" w:eastAsia="宋体" w:cs="宋体"/>
          <w:sz w:val="22"/>
          <w:lang w:eastAsia="zh-CN"/>
        </w:rPr>
        <w:t>综合评价情况：</w:t>
      </w: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999"/>
        <w:gridCol w:w="1330"/>
        <w:gridCol w:w="1275"/>
        <w:gridCol w:w="1275"/>
        <w:gridCol w:w="557"/>
        <w:gridCol w:w="648"/>
        <w:gridCol w:w="130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建设主动发光标志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数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263块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263块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系统验收合格率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合格率100%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0%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023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年内完成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建设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1项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1项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≤164.96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104.40万元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/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/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/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/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以车为本向以人为本的转变，利用科技手段更多的服务于慢行交通、静态交通、交通安全以及城市环境改善等；注重交通功能到注重区域内协调发展的转变，科技手段不仅要服务于区域内交通效率的提升，还要在公共场所营造、区域活力提升等方面发挥积极的作用。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1项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1项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/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/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/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/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本项目将在未来的3至5年内持续为金融街区域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慢行交通、静态交通、交通安全以及城市环境改善提供道路指引及城市亮化服务。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1项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1项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群众满意度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≥8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≥8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360" w:lineRule="auto"/>
        <w:ind w:firstLine="440" w:firstLineChars="200"/>
        <w:rPr>
          <w:rFonts w:hint="default" w:ascii="宋体" w:hAnsi="宋体" w:eastAsia="宋体" w:cs="宋体"/>
          <w:sz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2"/>
          <w:highlight w:val="none"/>
          <w:lang w:val="en-US" w:eastAsia="zh-CN"/>
        </w:rPr>
        <w:t>评价结论：</w:t>
      </w:r>
      <w:r>
        <w:rPr>
          <w:rFonts w:hint="eastAsia" w:ascii="宋体" w:hAnsi="宋体" w:eastAsia="宋体" w:cs="宋体"/>
          <w:sz w:val="22"/>
        </w:rPr>
        <w:t>根据评价指标内容逐项进行，自评得</w:t>
      </w:r>
      <w:r>
        <w:rPr>
          <w:rFonts w:hint="eastAsia" w:ascii="宋体" w:hAnsi="宋体" w:eastAsia="宋体" w:cs="宋体"/>
          <w:sz w:val="22"/>
          <w:highlight w:val="none"/>
        </w:rPr>
        <w:t>分</w:t>
      </w:r>
      <w:r>
        <w:rPr>
          <w:rFonts w:hint="eastAsia" w:ascii="宋体" w:hAnsi="宋体" w:eastAsia="宋体" w:cs="宋体"/>
          <w:sz w:val="22"/>
          <w:highlight w:val="none"/>
          <w:lang w:val="en-US" w:eastAsia="zh-CN"/>
        </w:rPr>
        <w:t>96.3</w:t>
      </w:r>
      <w:r>
        <w:rPr>
          <w:rFonts w:hint="eastAsia" w:ascii="宋体" w:hAnsi="宋体" w:eastAsia="宋体" w:cs="宋体"/>
          <w:sz w:val="22"/>
        </w:rPr>
        <w:t>分。</w:t>
      </w:r>
      <w:r>
        <w:rPr>
          <w:rFonts w:hint="eastAsia" w:ascii="宋体" w:hAnsi="宋体" w:eastAsia="宋体" w:cs="宋体"/>
          <w:sz w:val="22"/>
          <w:lang w:eastAsia="zh-CN"/>
        </w:rPr>
        <w:t>绩效级别为“优”，其中预算执行为</w:t>
      </w:r>
      <w:r>
        <w:rPr>
          <w:rFonts w:hint="eastAsia" w:ascii="宋体" w:hAnsi="宋体" w:eastAsia="宋体" w:cs="宋体"/>
          <w:sz w:val="22"/>
          <w:lang w:val="en-US" w:eastAsia="zh-CN"/>
        </w:rPr>
        <w:t>6.3分，项目产出为50分，项目效益为30分，服务对象满意度为10分。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sz w:val="22"/>
          <w:highlight w:val="none"/>
          <w:lang w:val="en-US" w:eastAsia="zh-CN"/>
        </w:rPr>
      </w:pP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四、绩效评价指标分析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（一）项目决策情况。</w:t>
      </w: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项目立项批复5</w:t>
      </w:r>
      <w:r>
        <w:rPr>
          <w:rFonts w:ascii="宋体" w:hAnsi="宋体" w:eastAsia="宋体" w:cs="宋体"/>
          <w:sz w:val="22"/>
        </w:rPr>
        <w:t>,107,951.27</w:t>
      </w:r>
      <w:r>
        <w:rPr>
          <w:rFonts w:hint="eastAsia" w:ascii="宋体" w:hAnsi="宋体" w:eastAsia="宋体" w:cs="宋体"/>
          <w:sz w:val="22"/>
        </w:rPr>
        <w:t>元，202</w:t>
      </w:r>
      <w:r>
        <w:rPr>
          <w:rFonts w:hint="eastAsia" w:ascii="宋体" w:hAnsi="宋体" w:eastAsia="宋体" w:cs="宋体"/>
          <w:sz w:val="22"/>
          <w:lang w:val="en-US" w:eastAsia="zh-CN"/>
        </w:rPr>
        <w:t>4</w:t>
      </w:r>
      <w:r>
        <w:rPr>
          <w:rFonts w:hint="eastAsia" w:ascii="宋体" w:hAnsi="宋体" w:eastAsia="宋体" w:cs="宋体"/>
          <w:sz w:val="22"/>
        </w:rPr>
        <w:t>年</w:t>
      </w:r>
      <w:r>
        <w:rPr>
          <w:rFonts w:hint="eastAsia" w:ascii="宋体" w:hAnsi="宋体" w:eastAsia="宋体" w:cs="宋体"/>
          <w:sz w:val="22"/>
          <w:lang w:eastAsia="zh-CN"/>
        </w:rPr>
        <w:t>出预算安排</w:t>
      </w:r>
      <w:r>
        <w:rPr>
          <w:rFonts w:hint="eastAsia" w:ascii="宋体" w:hAnsi="宋体" w:eastAsia="宋体" w:cs="宋体"/>
          <w:sz w:val="22"/>
          <w:lang w:val="en-US" w:eastAsia="zh-CN"/>
        </w:rPr>
        <w:t>164.96万元，目前已</w:t>
      </w:r>
      <w:r>
        <w:rPr>
          <w:rFonts w:hint="eastAsia" w:ascii="宋体" w:hAnsi="宋体" w:eastAsia="宋体" w:cs="宋体"/>
          <w:sz w:val="22"/>
        </w:rPr>
        <w:t>支付</w:t>
      </w:r>
      <w:r>
        <w:rPr>
          <w:rFonts w:hint="eastAsia" w:ascii="宋体" w:hAnsi="宋体" w:eastAsia="宋体" w:cs="宋体"/>
          <w:sz w:val="22"/>
          <w:lang w:val="en-US" w:eastAsia="zh-CN"/>
        </w:rPr>
        <w:t>104.40万</w:t>
      </w:r>
      <w:r>
        <w:rPr>
          <w:rFonts w:hint="eastAsia" w:ascii="宋体" w:hAnsi="宋体" w:eastAsia="宋体" w:cs="宋体"/>
          <w:sz w:val="22"/>
        </w:rPr>
        <w:t>元。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（二）项目过程情况。</w:t>
      </w:r>
    </w:p>
    <w:tbl>
      <w:tblPr>
        <w:tblStyle w:val="4"/>
        <w:tblW w:w="73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2636"/>
        <w:gridCol w:w="392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2"/>
              </w:rPr>
              <w:t>项目阶段</w:t>
            </w:r>
          </w:p>
        </w:tc>
        <w:tc>
          <w:tcPr>
            <w:tcW w:w="3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2"/>
              </w:rPr>
              <w:t>时间节点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启动招投标</w:t>
            </w:r>
          </w:p>
        </w:tc>
        <w:tc>
          <w:tcPr>
            <w:tcW w:w="3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2023年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5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月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9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中标</w:t>
            </w:r>
          </w:p>
        </w:tc>
        <w:tc>
          <w:tcPr>
            <w:tcW w:w="3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2023年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5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月2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9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合同签订</w:t>
            </w:r>
          </w:p>
        </w:tc>
        <w:tc>
          <w:tcPr>
            <w:tcW w:w="3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2023年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6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月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6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深化设计及施工准备阶段</w:t>
            </w:r>
          </w:p>
        </w:tc>
        <w:tc>
          <w:tcPr>
            <w:tcW w:w="3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023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年6月7日-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2023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年8月7日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施工阶段</w:t>
            </w:r>
          </w:p>
        </w:tc>
        <w:tc>
          <w:tcPr>
            <w:tcW w:w="3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023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年8月7日-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2023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年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/>
              </w:rPr>
              <w:t>11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月7日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验收、交工阶段</w:t>
            </w:r>
          </w:p>
        </w:tc>
        <w:tc>
          <w:tcPr>
            <w:tcW w:w="3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02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年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/>
              </w:rPr>
              <w:t>12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试运行阶段</w:t>
            </w:r>
          </w:p>
        </w:tc>
        <w:tc>
          <w:tcPr>
            <w:tcW w:w="3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023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年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/>
              </w:rPr>
              <w:t>12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月-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202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年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1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项目终验</w:t>
            </w:r>
          </w:p>
        </w:tc>
        <w:tc>
          <w:tcPr>
            <w:tcW w:w="3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2"/>
              </w:rPr>
              <w:t>02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年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2"/>
              </w:rPr>
              <w:t>月</w:t>
            </w:r>
          </w:p>
        </w:tc>
      </w:tr>
    </w:tbl>
    <w:p>
      <w:pPr>
        <w:spacing w:line="600" w:lineRule="exact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（三）项目产出情况。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建设主动发光标志263块，主要包括金融大街、太平桥大街沿线道路指示牌、重要路口行人指示标志、行人警示标志，月坛南桥、月坛北桥桥区标志标牌，包括设备安装调试、挖沟回填、垃圾处置等工程内容。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（四）项目效益情况。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以车为本向以人为本的转变，利用科技手段更多的服务于慢行交通、静态交通、交通安全以及城市环境改善等；注重交通功能到注重区域内协调发展的转变，科技手段不仅要服务于区域内交通效率的提升，还要在公共场所营造、区域活力提升等方面发挥积极的作用。</w:t>
      </w: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五、主要经验及做法、存在的问题及原因分析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1、建设单位要严格控制项目需求与项目预算申报内容不产生偏差；</w:t>
      </w:r>
    </w:p>
    <w:p>
      <w:pPr>
        <w:spacing w:line="360" w:lineRule="auto"/>
        <w:ind w:firstLine="440" w:firstLineChars="200"/>
      </w:pPr>
      <w:r>
        <w:rPr>
          <w:rFonts w:hint="eastAsia" w:ascii="宋体" w:hAnsi="宋体" w:eastAsia="宋体" w:cs="宋体"/>
          <w:sz w:val="22"/>
        </w:rPr>
        <w:t>2、在有第三方监理单位参与项目的情况下也不能完全放手，增加对监理单位的管理。</w:t>
      </w: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六、有关建议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信息化系统建设完成后要注意保障项目的运维经费，为系统稳定运行创造便利条件。</w:t>
      </w: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七、其他需要说明的问题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无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xNzcwNjY2ZjI3OTk0Y2M4M2Q2NzAxZjBhMmNlMzg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5E9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0F72B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3E6"/>
    <w:rsid w:val="00151812"/>
    <w:rsid w:val="0015212C"/>
    <w:rsid w:val="00153674"/>
    <w:rsid w:val="00155144"/>
    <w:rsid w:val="00156CDA"/>
    <w:rsid w:val="00157A26"/>
    <w:rsid w:val="001611FF"/>
    <w:rsid w:val="00162015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10E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0B3E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1AE9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3EE2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57F68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66DA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96A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5646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CC2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3BE1"/>
    <w:rsid w:val="008B441E"/>
    <w:rsid w:val="008B5A4B"/>
    <w:rsid w:val="008B5D66"/>
    <w:rsid w:val="008C12D0"/>
    <w:rsid w:val="008C1690"/>
    <w:rsid w:val="008C226E"/>
    <w:rsid w:val="008C2C39"/>
    <w:rsid w:val="008C3A48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66F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5C80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853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0935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22E0C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AF721A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09F0"/>
    <w:rsid w:val="00BE1E63"/>
    <w:rsid w:val="00BE2A09"/>
    <w:rsid w:val="00BE43F5"/>
    <w:rsid w:val="00BE5538"/>
    <w:rsid w:val="00BE6CBA"/>
    <w:rsid w:val="00BE6DA6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67C3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5D5E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54A6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506E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954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9296659"/>
    <w:rsid w:val="1B8D7890"/>
    <w:rsid w:val="1C283E73"/>
    <w:rsid w:val="1EEC03ED"/>
    <w:rsid w:val="27AA23EA"/>
    <w:rsid w:val="2D50633D"/>
    <w:rsid w:val="313E5BD1"/>
    <w:rsid w:val="3ABA37EA"/>
    <w:rsid w:val="3FF24889"/>
    <w:rsid w:val="6606100A"/>
    <w:rsid w:val="7A421CBC"/>
    <w:rsid w:val="7A4D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正文1"/>
    <w:basedOn w:val="1"/>
    <w:link w:val="9"/>
    <w:qFormat/>
    <w:uiPriority w:val="0"/>
    <w:pPr>
      <w:spacing w:before="163" w:beforeLines="50" w:after="163" w:afterLines="50" w:line="360" w:lineRule="auto"/>
      <w:ind w:firstLine="560" w:firstLineChars="200"/>
    </w:pPr>
    <w:rPr>
      <w:rFonts w:ascii="Times New Roman" w:hAnsi="Times New Roman" w:eastAsia="宋体" w:cs="Times New Roman"/>
      <w:sz w:val="24"/>
      <w:szCs w:val="24"/>
    </w:rPr>
  </w:style>
  <w:style w:type="character" w:customStyle="1" w:styleId="9">
    <w:name w:val="正文1 Char"/>
    <w:basedOn w:val="5"/>
    <w:link w:val="8"/>
    <w:qFormat/>
    <w:uiPriority w:val="0"/>
    <w:rPr>
      <w:rFonts w:ascii="Times New Roman" w:hAnsi="Times New Roman" w:eastAsia="宋体" w:cs="Times New Roman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3369</Words>
  <Characters>3676</Characters>
  <Lines>27</Lines>
  <Paragraphs>7</Paragraphs>
  <TotalTime>1</TotalTime>
  <ScaleCrop>false</ScaleCrop>
  <LinksUpToDate>false</LinksUpToDate>
  <CharactersWithSpaces>3763</CharactersWithSpaces>
  <Application>WPS Office_11.8.2.11473_F1E327BC-269C-435d-A152-05C5408002CA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cp:lastPrinted>2023-08-07T08:26:00Z</cp:lastPrinted>
  <dcterms:modified xsi:type="dcterms:W3CDTF">2025-08-28T08:34:26Z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2052-11.8.2.11473</vt:lpwstr>
  </property>
  <property fmtid="{D5CDD505-2E9C-101B-9397-08002B2CF9AE}" pid="3" name="ICV">
    <vt:lpwstr>B6D29FB2C4174014BE188BD4DF3A9C21_12</vt:lpwstr>
  </property>
</Properties>
</file>