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宋体" w:cs="Times New Roman"/>
          <w:sz w:val="52"/>
          <w:szCs w:val="52"/>
        </w:rPr>
      </w:pPr>
      <w:bookmarkStart w:id="0" w:name="_Toc380588482"/>
      <w:bookmarkStart w:id="1" w:name="_Toc396293517"/>
      <w:r>
        <w:rPr>
          <w:rFonts w:hint="eastAsia" w:ascii="Times New Roman" w:hAnsi="Times New Roman" w:eastAsia="宋体" w:cs="Times New Roman"/>
          <w:b/>
          <w:sz w:val="52"/>
          <w:szCs w:val="52"/>
        </w:rPr>
        <w:t>西城区项目支出绩效报告</w:t>
      </w:r>
      <w:bookmarkEnd w:id="0"/>
      <w:bookmarkEnd w:id="1"/>
    </w:p>
    <w:p>
      <w:pPr>
        <w:adjustRightInd w:val="0"/>
        <w:snapToGrid w:val="0"/>
        <w:spacing w:before="100" w:beforeAutospacing="1" w:after="100" w:afterAutospacing="1" w:line="312" w:lineRule="auto"/>
        <w:ind w:firstLine="600"/>
        <w:jc w:val="center"/>
        <w:rPr>
          <w:rFonts w:ascii="仿宋_GB2312" w:hAnsi="Times New Roman" w:eastAsia="宋体" w:cs="Times New Roman"/>
          <w:sz w:val="30"/>
          <w:szCs w:val="30"/>
        </w:rPr>
      </w:pPr>
    </w:p>
    <w:p>
      <w:pPr>
        <w:spacing w:before="100" w:beforeAutospacing="1" w:after="100" w:afterAutospacing="1" w:line="312" w:lineRule="auto"/>
        <w:jc w:val="center"/>
        <w:rPr>
          <w:rFonts w:ascii="仿宋_GB2312" w:hAnsi="宋体" w:eastAsia="宋体" w:cs="Times New Roman"/>
          <w:sz w:val="32"/>
          <w:szCs w:val="32"/>
        </w:rPr>
      </w:pPr>
      <w:r>
        <w:rPr>
          <w:rFonts w:hint="eastAsia" w:ascii="仿宋_GB2312" w:hAnsi="宋体" w:eastAsia="宋体" w:cs="Times New Roman"/>
          <w:sz w:val="32"/>
          <w:szCs w:val="32"/>
        </w:rPr>
        <w:t>（</w:t>
      </w:r>
      <w:r>
        <w:rPr>
          <w:rFonts w:hint="eastAsia" w:ascii="仿宋_GB2312" w:hAnsi="宋体" w:eastAsia="宋体" w:cs="Times New Roman"/>
          <w:sz w:val="32"/>
          <w:szCs w:val="32"/>
          <w:lang w:val="en-US" w:eastAsia="zh-CN"/>
        </w:rPr>
        <w:t>2024</w:t>
      </w:r>
      <w:r>
        <w:rPr>
          <w:rFonts w:hint="eastAsia" w:ascii="仿宋_GB2312" w:hAnsi="宋体" w:eastAsia="宋体" w:cs="Times New Roman"/>
          <w:sz w:val="32"/>
          <w:szCs w:val="32"/>
        </w:rPr>
        <w:t>年度）</w:t>
      </w:r>
    </w:p>
    <w:p>
      <w:pPr>
        <w:spacing w:before="100" w:beforeAutospacing="1" w:after="100" w:afterAutospacing="1" w:line="312" w:lineRule="auto"/>
        <w:ind w:firstLine="600"/>
        <w:rPr>
          <w:rFonts w:ascii="仿宋_GB2312" w:hAnsi="Times New Roman" w:eastAsia="宋体" w:cs="Times New Roman"/>
          <w:sz w:val="30"/>
          <w:szCs w:val="24"/>
        </w:rPr>
      </w:pPr>
    </w:p>
    <w:p>
      <w:pPr>
        <w:spacing w:before="100" w:beforeAutospacing="1" w:after="100" w:afterAutospacing="1" w:line="312" w:lineRule="auto"/>
        <w:ind w:firstLine="600"/>
        <w:rPr>
          <w:rFonts w:ascii="仿宋_GB2312" w:hAnsi="Times New Roman" w:eastAsia="宋体" w:cs="Times New Roman"/>
          <w:sz w:val="30"/>
          <w:szCs w:val="24"/>
        </w:rPr>
      </w:pPr>
    </w:p>
    <w:p>
      <w:pPr>
        <w:spacing w:before="100" w:beforeAutospacing="1" w:after="100" w:afterAutospacing="1" w:line="312" w:lineRule="auto"/>
        <w:ind w:firstLine="600"/>
        <w:rPr>
          <w:rFonts w:ascii="仿宋_GB2312" w:hAnsi="Times New Roman" w:eastAsia="宋体" w:cs="Times New Roman"/>
          <w:sz w:val="30"/>
          <w:szCs w:val="24"/>
        </w:rPr>
      </w:pPr>
    </w:p>
    <w:p>
      <w:pPr>
        <w:spacing w:before="100" w:beforeAutospacing="1" w:after="100" w:afterAutospacing="1" w:line="312" w:lineRule="auto"/>
        <w:ind w:firstLine="600"/>
        <w:rPr>
          <w:rFonts w:ascii="仿宋_GB2312" w:hAnsi="Times New Roman" w:eastAsia="宋体" w:cs="Times New Roman"/>
          <w:sz w:val="30"/>
          <w:szCs w:val="24"/>
        </w:rPr>
      </w:pPr>
    </w:p>
    <w:p>
      <w:pPr>
        <w:spacing w:before="100" w:beforeAutospacing="1" w:after="100" w:afterAutospacing="1" w:line="312" w:lineRule="auto"/>
        <w:ind w:firstLine="600"/>
        <w:rPr>
          <w:rFonts w:ascii="仿宋_GB2312" w:hAnsi="Times New Roman" w:eastAsia="宋体" w:cs="Times New Roman"/>
          <w:sz w:val="30"/>
          <w:szCs w:val="24"/>
        </w:rPr>
      </w:pPr>
    </w:p>
    <w:p>
      <w:pPr>
        <w:spacing w:before="100" w:beforeAutospacing="1" w:after="100" w:afterAutospacing="1" w:line="312" w:lineRule="auto"/>
        <w:ind w:firstLine="899" w:firstLineChars="281"/>
        <w:rPr>
          <w:rFonts w:ascii="仿宋_GB2312" w:hAnsi="宋体" w:eastAsia="宋体" w:cs="Times New Roman"/>
          <w:sz w:val="32"/>
          <w:szCs w:val="32"/>
          <w:u w:val="single"/>
        </w:rPr>
      </w:pPr>
    </w:p>
    <w:p>
      <w:pPr>
        <w:spacing w:before="100" w:beforeAutospacing="1" w:after="100" w:afterAutospacing="1" w:line="312" w:lineRule="auto"/>
        <w:ind w:firstLine="899" w:firstLineChars="281"/>
        <w:rPr>
          <w:rFonts w:hint="eastAsia" w:ascii="仿宋_GB2312" w:hAnsi="宋体" w:eastAsia="宋体" w:cs="Times New Roman"/>
          <w:sz w:val="32"/>
          <w:szCs w:val="32"/>
          <w:u w:val="single"/>
        </w:rPr>
      </w:pPr>
      <w:r>
        <w:rPr>
          <w:rFonts w:hint="eastAsia" w:ascii="仿宋_GB2312" w:hAnsi="宋体" w:eastAsia="宋体" w:cs="Times New Roman"/>
          <w:sz w:val="32"/>
          <w:szCs w:val="32"/>
        </w:rPr>
        <w:t>部门名称</w:t>
      </w:r>
      <w:r>
        <w:rPr>
          <w:rFonts w:hint="eastAsia" w:ascii="仿宋_GB2312" w:hAnsi="宋体" w:eastAsia="宋体" w:cs="Times New Roman"/>
          <w:sz w:val="32"/>
          <w:szCs w:val="32"/>
          <w:u w:val="single"/>
        </w:rPr>
        <w:t xml:space="preserve">     北京市西城区城市管理委员会</w:t>
      </w:r>
      <w:r>
        <w:rPr>
          <w:rFonts w:hint="eastAsia" w:ascii="仿宋_GB2312" w:hAnsi="宋体" w:eastAsia="宋体" w:cs="Times New Roman"/>
          <w:sz w:val="32"/>
          <w:szCs w:val="32"/>
          <w:u w:val="single"/>
          <w:lang w:val="en-US" w:eastAsia="zh-CN"/>
        </w:rPr>
        <w:t xml:space="preserve"> </w:t>
      </w:r>
      <w:r>
        <w:rPr>
          <w:rFonts w:hint="eastAsia" w:ascii="仿宋_GB2312" w:hAnsi="宋体" w:eastAsia="宋体" w:cs="Times New Roman"/>
          <w:sz w:val="32"/>
          <w:szCs w:val="32"/>
          <w:u w:val="single"/>
        </w:rPr>
        <w:t xml:space="preserve">  </w:t>
      </w:r>
    </w:p>
    <w:p>
      <w:pPr>
        <w:spacing w:before="100" w:beforeAutospacing="1" w:after="100" w:afterAutospacing="1" w:line="312" w:lineRule="auto"/>
        <w:ind w:firstLine="899" w:firstLineChars="281"/>
        <w:rPr>
          <w:rFonts w:hint="eastAsia" w:ascii="仿宋_GB2312" w:hAnsi="宋体" w:eastAsia="宋体" w:cs="Times New Roman"/>
          <w:sz w:val="32"/>
          <w:szCs w:val="32"/>
          <w:u w:val="single"/>
        </w:rPr>
      </w:pPr>
      <w:r>
        <w:rPr>
          <w:rFonts w:hint="eastAsia" w:ascii="仿宋_GB2312" w:hAnsi="宋体" w:eastAsia="宋体" w:cs="Times New Roman"/>
          <w:sz w:val="32"/>
          <w:szCs w:val="32"/>
        </w:rPr>
        <w:t>项目名称</w:t>
      </w:r>
      <w:r>
        <w:rPr>
          <w:rFonts w:hint="eastAsia" w:ascii="仿宋_GB2312" w:hAnsi="宋体" w:eastAsia="宋体" w:cs="Times New Roman"/>
          <w:sz w:val="32"/>
          <w:szCs w:val="32"/>
          <w:u w:val="single"/>
        </w:rPr>
        <w:t xml:space="preserve">  202</w:t>
      </w:r>
      <w:r>
        <w:rPr>
          <w:rFonts w:hint="eastAsia" w:ascii="仿宋_GB2312" w:hAnsi="宋体" w:eastAsia="宋体" w:cs="Times New Roman"/>
          <w:sz w:val="32"/>
          <w:szCs w:val="32"/>
          <w:u w:val="single"/>
          <w:lang w:val="en-US" w:eastAsia="zh-CN"/>
        </w:rPr>
        <w:t>4</w:t>
      </w:r>
      <w:r>
        <w:rPr>
          <w:rFonts w:hint="eastAsia" w:ascii="仿宋_GB2312" w:hAnsi="宋体" w:eastAsia="宋体" w:cs="Times New Roman"/>
          <w:sz w:val="32"/>
          <w:szCs w:val="32"/>
          <w:u w:val="single"/>
        </w:rPr>
        <w:t xml:space="preserve">年西城区停车协管员工资经费 </w:t>
      </w:r>
    </w:p>
    <w:p>
      <w:pPr>
        <w:spacing w:before="100" w:beforeAutospacing="1" w:after="100" w:afterAutospacing="1" w:line="312" w:lineRule="auto"/>
        <w:ind w:firstLine="899" w:firstLineChars="281"/>
        <w:rPr>
          <w:rFonts w:ascii="仿宋_GB2312" w:hAnsi="宋体" w:eastAsia="宋体" w:cs="Times New Roman"/>
          <w:sz w:val="32"/>
          <w:szCs w:val="32"/>
          <w:u w:val="single"/>
        </w:rPr>
      </w:pPr>
      <w:r>
        <w:rPr>
          <w:rFonts w:hint="eastAsia" w:ascii="仿宋_GB2312" w:hAnsi="宋体" w:eastAsia="宋体" w:cs="Times New Roman"/>
          <w:sz w:val="32"/>
          <w:szCs w:val="32"/>
        </w:rPr>
        <w:t>填报日期</w:t>
      </w:r>
      <w:r>
        <w:rPr>
          <w:rFonts w:hint="eastAsia" w:ascii="仿宋_GB2312" w:hAnsi="宋体" w:eastAsia="宋体" w:cs="Times New Roman"/>
          <w:sz w:val="32"/>
          <w:szCs w:val="32"/>
          <w:u w:val="single"/>
        </w:rPr>
        <w:t xml:space="preserve">         </w:t>
      </w:r>
      <w:r>
        <w:rPr>
          <w:rFonts w:hint="eastAsia" w:ascii="仿宋_GB2312" w:hAnsi="宋体" w:eastAsia="宋体" w:cs="Times New Roman"/>
          <w:sz w:val="32"/>
          <w:szCs w:val="32"/>
          <w:u w:val="single"/>
          <w:lang w:val="en-US" w:eastAsia="zh-CN"/>
        </w:rPr>
        <w:t>2025年4月24日</w:t>
      </w:r>
      <w:r>
        <w:rPr>
          <w:rFonts w:hint="eastAsia" w:ascii="仿宋_GB2312" w:hAnsi="宋体" w:eastAsia="宋体" w:cs="Times New Roman"/>
          <w:sz w:val="32"/>
          <w:szCs w:val="32"/>
          <w:u w:val="single"/>
        </w:rPr>
        <w:t xml:space="preserve">          </w:t>
      </w:r>
    </w:p>
    <w:p>
      <w:pPr>
        <w:jc w:val="center"/>
        <w:rPr>
          <w:rFonts w:ascii="Arial" w:hAnsi="Arial" w:eastAsia="宋体" w:cs="Arial"/>
          <w:b/>
          <w:bCs/>
          <w:sz w:val="36"/>
          <w:szCs w:val="36"/>
        </w:rPr>
      </w:pPr>
      <w:r>
        <w:rPr>
          <w:rFonts w:ascii="仿宋_GB2312" w:hAnsi="宋体" w:eastAsia="宋体" w:cs="Times New Roman"/>
          <w:sz w:val="32"/>
          <w:szCs w:val="32"/>
          <w:u w:val="single"/>
        </w:rPr>
        <w:br w:type="page"/>
      </w:r>
      <w:r>
        <w:rPr>
          <w:rFonts w:hint="eastAsia" w:ascii="宋体" w:hAnsi="宋体" w:eastAsia="宋体" w:cs="Arial"/>
          <w:b/>
          <w:bCs/>
          <w:sz w:val="36"/>
          <w:szCs w:val="36"/>
        </w:rPr>
        <w:t>项目支出</w:t>
      </w:r>
      <w:r>
        <w:rPr>
          <w:rFonts w:ascii="宋体" w:hAnsi="宋体" w:eastAsia="宋体" w:cs="Arial"/>
          <w:b/>
          <w:bCs/>
          <w:sz w:val="36"/>
          <w:szCs w:val="36"/>
        </w:rPr>
        <w:t>绩效</w:t>
      </w:r>
      <w:r>
        <w:rPr>
          <w:rFonts w:hint="eastAsia" w:ascii="宋体" w:hAnsi="宋体" w:eastAsia="宋体" w:cs="Arial"/>
          <w:b/>
          <w:bCs/>
          <w:sz w:val="36"/>
          <w:szCs w:val="36"/>
        </w:rPr>
        <w:t>评价报告</w:t>
      </w:r>
    </w:p>
    <w:p>
      <w:pPr>
        <w:jc w:val="center"/>
        <w:rPr>
          <w:rFonts w:ascii="仿宋_GB2312" w:hAnsi="Times New Roman" w:eastAsia="宋体" w:cs="Times New Roman"/>
          <w:szCs w:val="30"/>
        </w:rPr>
      </w:pPr>
    </w:p>
    <w:p>
      <w:pPr>
        <w:spacing w:line="600" w:lineRule="exact"/>
        <w:ind w:firstLine="442" w:firstLineChars="200"/>
        <w:rPr>
          <w:rFonts w:ascii="宋体" w:hAnsi="宋体" w:eastAsia="宋体" w:cs="宋体"/>
          <w:b/>
          <w:color w:val="000000"/>
          <w:kern w:val="0"/>
          <w:sz w:val="22"/>
          <w:szCs w:val="24"/>
        </w:rPr>
      </w:pPr>
      <w:r>
        <w:rPr>
          <w:rFonts w:hint="eastAsia" w:ascii="宋体" w:hAnsi="宋体" w:eastAsia="宋体" w:cs="宋体"/>
          <w:b/>
          <w:color w:val="000000"/>
          <w:kern w:val="0"/>
          <w:sz w:val="22"/>
          <w:szCs w:val="24"/>
        </w:rPr>
        <w:t>一、基本情况</w:t>
      </w:r>
    </w:p>
    <w:p>
      <w:pPr>
        <w:keepNext w:val="0"/>
        <w:keepLines w:val="0"/>
        <w:pageBreakBefore w:val="0"/>
        <w:kinsoku/>
        <w:overflowPunct/>
        <w:topLinePunct w:val="0"/>
        <w:autoSpaceDE/>
        <w:autoSpaceDN/>
        <w:bidi w:val="0"/>
        <w:adjustRightInd/>
        <w:snapToGrid/>
        <w:spacing w:line="560" w:lineRule="exact"/>
        <w:ind w:firstLine="440" w:firstLineChars="200"/>
        <w:textAlignment w:val="auto"/>
        <w:outlineLvl w:val="0"/>
        <w:rPr>
          <w:rFonts w:hint="eastAsia" w:ascii="宋体" w:hAnsi="宋体" w:eastAsia="宋体" w:cs="宋体"/>
          <w:color w:val="000000"/>
          <w:kern w:val="0"/>
          <w:sz w:val="22"/>
          <w:szCs w:val="24"/>
        </w:rPr>
      </w:pPr>
      <w:r>
        <w:rPr>
          <w:rFonts w:hint="eastAsia" w:ascii="宋体" w:hAnsi="宋体" w:eastAsia="宋体" w:cs="宋体"/>
          <w:color w:val="000000"/>
          <w:kern w:val="0"/>
          <w:sz w:val="22"/>
          <w:szCs w:val="24"/>
        </w:rPr>
        <w:t>（一）项目概况。项目背景</w:t>
      </w:r>
      <w:r>
        <w:rPr>
          <w:rFonts w:hint="eastAsia" w:ascii="宋体" w:hAnsi="宋体" w:eastAsia="宋体" w:cs="宋体"/>
          <w:color w:val="000000"/>
          <w:kern w:val="0"/>
          <w:sz w:val="22"/>
          <w:szCs w:val="24"/>
          <w:lang w:eastAsia="zh-CN"/>
        </w:rPr>
        <w:t>：</w:t>
      </w:r>
      <w:r>
        <w:rPr>
          <w:rFonts w:hint="eastAsia" w:ascii="宋体" w:hAnsi="宋体" w:eastAsia="宋体" w:cs="宋体"/>
          <w:color w:val="000000"/>
          <w:kern w:val="0"/>
          <w:sz w:val="22"/>
          <w:szCs w:val="24"/>
        </w:rPr>
        <w:t>为巩固核心区停车治理阶段成果，维护好道路停车秩序，按照市交通综合治理领导小组第二次会议</w:t>
      </w:r>
      <w:r>
        <w:rPr>
          <w:rFonts w:hint="eastAsia" w:ascii="宋体" w:hAnsi="宋体" w:eastAsia="宋体" w:cs="宋体"/>
          <w:color w:val="000000"/>
          <w:kern w:val="0"/>
          <w:sz w:val="22"/>
          <w:szCs w:val="24"/>
          <w:lang w:eastAsia="zh-CN"/>
        </w:rPr>
        <w:t>及</w:t>
      </w:r>
      <w:r>
        <w:rPr>
          <w:rFonts w:hint="eastAsia" w:ascii="宋体" w:hAnsi="宋体" w:eastAsia="宋体" w:cs="宋体"/>
          <w:color w:val="000000"/>
          <w:kern w:val="0"/>
          <w:sz w:val="22"/>
          <w:szCs w:val="24"/>
        </w:rPr>
        <w:t>《关于加强停车协管员力量 强化道路停车监督管理的指导意见（试行）》（京交综治办〔2018〕7号）的要求，</w:t>
      </w:r>
      <w:r>
        <w:rPr>
          <w:rFonts w:hint="eastAsia" w:ascii="宋体" w:hAnsi="宋体" w:eastAsia="宋体" w:cs="宋体"/>
          <w:color w:val="000000"/>
          <w:kern w:val="0"/>
          <w:sz w:val="22"/>
          <w:szCs w:val="24"/>
          <w:lang w:eastAsia="zh-CN"/>
        </w:rPr>
        <w:t>西城区</w:t>
      </w:r>
      <w:r>
        <w:rPr>
          <w:rFonts w:hint="eastAsia" w:ascii="宋体" w:hAnsi="宋体" w:eastAsia="宋体" w:cs="宋体"/>
          <w:color w:val="000000"/>
          <w:kern w:val="0"/>
          <w:sz w:val="22"/>
          <w:szCs w:val="24"/>
        </w:rPr>
        <w:t>通过政府购买服务的方式，组建停车秩序管理的前端巡查队伍（即停车协管员队伍），并采取分期分批的形式进行招录。</w:t>
      </w:r>
    </w:p>
    <w:p>
      <w:pPr>
        <w:keepNext w:val="0"/>
        <w:keepLines w:val="0"/>
        <w:pageBreakBefore w:val="0"/>
        <w:kinsoku/>
        <w:overflowPunct/>
        <w:topLinePunct w:val="0"/>
        <w:autoSpaceDE/>
        <w:autoSpaceDN/>
        <w:bidi w:val="0"/>
        <w:adjustRightInd/>
        <w:snapToGrid/>
        <w:spacing w:line="560" w:lineRule="exact"/>
        <w:ind w:firstLine="440" w:firstLineChars="200"/>
        <w:textAlignment w:val="auto"/>
        <w:outlineLvl w:val="0"/>
        <w:rPr>
          <w:rFonts w:hint="eastAsia" w:ascii="宋体" w:hAnsi="宋体" w:eastAsia="宋体" w:cs="宋体"/>
          <w:color w:val="000000"/>
          <w:kern w:val="0"/>
          <w:sz w:val="22"/>
          <w:szCs w:val="24"/>
          <w:lang w:eastAsia="zh-CN"/>
        </w:rPr>
      </w:pPr>
      <w:r>
        <w:rPr>
          <w:rFonts w:hint="eastAsia" w:ascii="宋体" w:hAnsi="宋体" w:eastAsia="宋体" w:cs="宋体"/>
          <w:color w:val="000000"/>
          <w:kern w:val="0"/>
          <w:sz w:val="22"/>
          <w:szCs w:val="24"/>
        </w:rPr>
        <w:t>主要内容</w:t>
      </w:r>
      <w:r>
        <w:rPr>
          <w:rFonts w:hint="eastAsia" w:ascii="宋体" w:hAnsi="宋体" w:eastAsia="宋体" w:cs="宋体"/>
          <w:color w:val="000000"/>
          <w:kern w:val="0"/>
          <w:sz w:val="22"/>
          <w:szCs w:val="24"/>
          <w:lang w:eastAsia="zh-CN"/>
        </w:rPr>
        <w:t>：按照市里统一要求，停车协管员属于道路交通安全协管员，是协助公安机关交通管理部门维护道路停车秩序，劝阻、告知道路停车</w:t>
      </w:r>
      <w:bookmarkStart w:id="2" w:name="_GoBack"/>
      <w:bookmarkEnd w:id="2"/>
      <w:r>
        <w:rPr>
          <w:rFonts w:hint="eastAsia" w:ascii="宋体" w:hAnsi="宋体" w:eastAsia="宋体" w:cs="宋体"/>
          <w:color w:val="000000"/>
          <w:kern w:val="0"/>
          <w:sz w:val="22"/>
          <w:szCs w:val="24"/>
          <w:lang w:eastAsia="zh-CN"/>
        </w:rPr>
        <w:t>违法行为的专门力量，重点是对支路以上道路停车、路外空间停车、支路及以下道路（含胡同）停车等进行巡查贴条告知。组建停车协管员队伍的基本要求是“区招区管、队训队认”和“三统一、一纳入”。“区招区管”是指由各区停车管理部门按照现行协管员劳务派遣的用工方式，招募组建本辖区停车协管员队伍，并负责协管员队伍的日常管理，各区政府财政预算保障。“队训队认”是指由交通支队进行培训和考核认定。“三统一、一纳入”即按照公安机关交通管理部门的标准统一培训、统一服装、统一装备，并纳入公安机关交通管理部门的执法体系，形成全市一支停车协管员队伍，具体由各区停车管理部门会同各交通支队组织实施。招募组建辖区停车协管员由各区按照规定确定劳务派遣单位，根据辖区内道路长度、严管街数量、停车位分布、治理过程中不同阶段的巡查频次等因素测算人员数量，分期分批进行招录。</w:t>
      </w:r>
    </w:p>
    <w:p>
      <w:pPr>
        <w:keepNext w:val="0"/>
        <w:keepLines w:val="0"/>
        <w:pageBreakBefore w:val="0"/>
        <w:kinsoku/>
        <w:overflowPunct/>
        <w:topLinePunct w:val="0"/>
        <w:autoSpaceDE/>
        <w:autoSpaceDN/>
        <w:bidi w:val="0"/>
        <w:adjustRightInd/>
        <w:snapToGrid/>
        <w:spacing w:line="560" w:lineRule="exact"/>
        <w:ind w:firstLine="440" w:firstLineChars="200"/>
        <w:textAlignment w:val="auto"/>
        <w:outlineLvl w:val="0"/>
        <w:rPr>
          <w:rFonts w:hint="eastAsia" w:ascii="宋体" w:hAnsi="宋体" w:eastAsia="宋体" w:cs="宋体"/>
          <w:color w:val="000000"/>
          <w:kern w:val="0"/>
          <w:sz w:val="22"/>
          <w:szCs w:val="24"/>
        </w:rPr>
      </w:pPr>
      <w:r>
        <w:rPr>
          <w:rFonts w:hint="eastAsia" w:ascii="宋体" w:hAnsi="宋体" w:eastAsia="宋体" w:cs="宋体"/>
          <w:color w:val="000000"/>
          <w:kern w:val="0"/>
          <w:sz w:val="22"/>
          <w:szCs w:val="24"/>
        </w:rPr>
        <w:t>实施情况</w:t>
      </w:r>
      <w:r>
        <w:rPr>
          <w:rFonts w:hint="eastAsia" w:ascii="宋体" w:hAnsi="宋体" w:eastAsia="宋体" w:cs="宋体"/>
          <w:color w:val="000000"/>
          <w:kern w:val="0"/>
          <w:sz w:val="22"/>
          <w:szCs w:val="24"/>
          <w:lang w:eastAsia="zh-CN"/>
        </w:rPr>
        <w:t>：甲方（用工单位）：北京市西城区城市管理委员会，乙方（派遣单位）：德润鑫丰（北京）劳务派遣有限公司。派遣单位按照工作要求派遣</w:t>
      </w:r>
      <w:r>
        <w:rPr>
          <w:rFonts w:hint="eastAsia" w:ascii="宋体" w:hAnsi="宋体" w:eastAsia="宋体" w:cs="宋体"/>
          <w:color w:val="000000"/>
          <w:kern w:val="0"/>
          <w:sz w:val="22"/>
          <w:szCs w:val="24"/>
          <w:lang w:val="en-US" w:eastAsia="zh-CN"/>
        </w:rPr>
        <w:t>44</w:t>
      </w:r>
      <w:r>
        <w:rPr>
          <w:rFonts w:hint="eastAsia" w:ascii="宋体" w:hAnsi="宋体" w:eastAsia="宋体" w:cs="宋体"/>
          <w:color w:val="000000"/>
          <w:kern w:val="0"/>
          <w:sz w:val="22"/>
          <w:szCs w:val="24"/>
          <w:lang w:eastAsia="zh-CN"/>
        </w:rPr>
        <w:t>0名停车协管员，进行上岗培训及日常管理。经费来源为区财政拨款。派遣期限为2年。</w:t>
      </w:r>
    </w:p>
    <w:p>
      <w:pPr>
        <w:keepNext w:val="0"/>
        <w:keepLines w:val="0"/>
        <w:pageBreakBefore w:val="0"/>
        <w:numPr>
          <w:ilvl w:val="0"/>
          <w:numId w:val="1"/>
        </w:numPr>
        <w:kinsoku/>
        <w:overflowPunct/>
        <w:topLinePunct w:val="0"/>
        <w:autoSpaceDE/>
        <w:autoSpaceDN/>
        <w:bidi w:val="0"/>
        <w:adjustRightInd/>
        <w:snapToGrid/>
        <w:spacing w:line="560" w:lineRule="exact"/>
        <w:ind w:firstLine="440" w:firstLineChars="200"/>
        <w:textAlignment w:val="auto"/>
        <w:rPr>
          <w:rFonts w:hint="eastAsia" w:ascii="宋体" w:hAnsi="宋体" w:eastAsia="宋体" w:cs="宋体"/>
          <w:color w:val="000000"/>
          <w:kern w:val="0"/>
          <w:sz w:val="22"/>
          <w:szCs w:val="24"/>
        </w:rPr>
      </w:pPr>
      <w:r>
        <w:rPr>
          <w:rFonts w:hint="eastAsia" w:ascii="宋体" w:hAnsi="宋体" w:eastAsia="宋体" w:cs="宋体"/>
          <w:color w:val="000000"/>
          <w:kern w:val="0"/>
          <w:sz w:val="22"/>
          <w:szCs w:val="24"/>
        </w:rPr>
        <w:t>项目绩效目标。</w:t>
      </w:r>
    </w:p>
    <w:p>
      <w:pPr>
        <w:keepNext w:val="0"/>
        <w:keepLines w:val="0"/>
        <w:pageBreakBefore w:val="0"/>
        <w:kinsoku/>
        <w:overflowPunct/>
        <w:topLinePunct w:val="0"/>
        <w:autoSpaceDE/>
        <w:autoSpaceDN/>
        <w:bidi w:val="0"/>
        <w:adjustRightInd/>
        <w:snapToGrid/>
        <w:spacing w:line="560" w:lineRule="exact"/>
        <w:ind w:firstLine="440" w:firstLineChars="200"/>
        <w:textAlignment w:val="auto"/>
        <w:outlineLvl w:val="0"/>
        <w:rPr>
          <w:rFonts w:hint="eastAsia" w:ascii="宋体" w:hAnsi="宋体" w:eastAsia="宋体" w:cs="宋体"/>
          <w:color w:val="000000"/>
          <w:kern w:val="0"/>
          <w:sz w:val="22"/>
          <w:szCs w:val="24"/>
          <w:lang w:eastAsia="zh-CN"/>
        </w:rPr>
      </w:pPr>
      <w:r>
        <w:rPr>
          <w:rFonts w:hint="eastAsia" w:ascii="宋体" w:hAnsi="宋体" w:eastAsia="宋体" w:cs="宋体"/>
          <w:color w:val="000000"/>
          <w:kern w:val="0"/>
          <w:sz w:val="22"/>
          <w:szCs w:val="24"/>
          <w:lang w:eastAsia="zh-CN"/>
        </w:rPr>
        <w:t>按照《北京市实施〈中华人民共和国道路交通安全法〉办法》第七十八条第四款“市和区、县人民政府组建的道路交通安全协管员队伍，协助交通警察维护道路交通秩序，劝阻、告知道路交通安全违法行为”等相关规定，各区组建的停车协管员队伍，是道路交通安全协管员队伍的组成部分，具有相应工作职责，可依法对违停车辆张贴《北京市交通协管员道路停车记录告知单》，并拍照取证，向所在地公安机关交通管理部门报告。目前实施情况良好，一切正常。</w:t>
      </w:r>
    </w:p>
    <w:p>
      <w:pPr>
        <w:keepNext w:val="0"/>
        <w:keepLines w:val="0"/>
        <w:pageBreakBefore w:val="0"/>
        <w:kinsoku/>
        <w:overflowPunct/>
        <w:topLinePunct w:val="0"/>
        <w:autoSpaceDE/>
        <w:autoSpaceDN/>
        <w:bidi w:val="0"/>
        <w:adjustRightInd/>
        <w:snapToGrid/>
        <w:spacing w:line="560" w:lineRule="exact"/>
        <w:ind w:firstLine="440" w:firstLineChars="200"/>
        <w:textAlignment w:val="auto"/>
        <w:outlineLvl w:val="0"/>
        <w:rPr>
          <w:rFonts w:hint="eastAsia" w:ascii="宋体" w:hAnsi="宋体" w:eastAsia="宋体" w:cs="宋体"/>
          <w:color w:val="000000"/>
          <w:kern w:val="0"/>
          <w:sz w:val="22"/>
          <w:szCs w:val="24"/>
          <w:lang w:eastAsia="zh-CN"/>
        </w:rPr>
      </w:pPr>
      <w:r>
        <w:rPr>
          <w:rFonts w:hint="eastAsia" w:ascii="宋体" w:hAnsi="宋体" w:eastAsia="宋体" w:cs="宋体"/>
          <w:color w:val="000000"/>
          <w:kern w:val="0"/>
          <w:sz w:val="22"/>
          <w:szCs w:val="24"/>
          <w:lang w:eastAsia="zh-CN"/>
        </w:rPr>
        <w:t>停车协管员工作职责：宣传交通和停车方面的法律、法规、规章和政策，协助公安机关交通管理部门维护道路停车秩序,劝阻、告知道路停车违法行为。</w:t>
      </w:r>
    </w:p>
    <w:p>
      <w:pPr>
        <w:keepNext w:val="0"/>
        <w:keepLines w:val="0"/>
        <w:pageBreakBefore w:val="0"/>
        <w:kinsoku/>
        <w:overflowPunct/>
        <w:topLinePunct w:val="0"/>
        <w:autoSpaceDE/>
        <w:autoSpaceDN/>
        <w:bidi w:val="0"/>
        <w:adjustRightInd/>
        <w:snapToGrid/>
        <w:spacing w:line="560" w:lineRule="exact"/>
        <w:ind w:firstLine="440" w:firstLineChars="200"/>
        <w:textAlignment w:val="auto"/>
        <w:outlineLvl w:val="0"/>
        <w:rPr>
          <w:rFonts w:hint="eastAsia" w:ascii="宋体" w:hAnsi="宋体" w:eastAsia="宋体" w:cs="宋体"/>
          <w:color w:val="000000"/>
          <w:kern w:val="0"/>
          <w:sz w:val="22"/>
          <w:szCs w:val="24"/>
          <w:lang w:eastAsia="zh-CN"/>
        </w:rPr>
      </w:pPr>
      <w:r>
        <w:rPr>
          <w:rFonts w:hint="eastAsia" w:ascii="宋体" w:hAnsi="宋体" w:eastAsia="宋体" w:cs="宋体"/>
          <w:color w:val="000000"/>
          <w:kern w:val="0"/>
          <w:sz w:val="22"/>
          <w:szCs w:val="24"/>
          <w:lang w:eastAsia="zh-CN"/>
        </w:rPr>
        <w:t>1.对机动车驾驶人在现场的违停车辆进行劝离,劝导其停车入位,对违法停车行为严重影响交通安全和道路通行的情形应当及时向公安机关交通管理部门报告。</w:t>
      </w:r>
    </w:p>
    <w:p>
      <w:pPr>
        <w:keepNext w:val="0"/>
        <w:keepLines w:val="0"/>
        <w:pageBreakBefore w:val="0"/>
        <w:kinsoku/>
        <w:overflowPunct/>
        <w:topLinePunct w:val="0"/>
        <w:autoSpaceDE/>
        <w:autoSpaceDN/>
        <w:bidi w:val="0"/>
        <w:adjustRightInd/>
        <w:snapToGrid/>
        <w:spacing w:line="560" w:lineRule="exact"/>
        <w:ind w:firstLine="440" w:firstLineChars="200"/>
        <w:textAlignment w:val="auto"/>
        <w:outlineLvl w:val="0"/>
        <w:rPr>
          <w:rFonts w:hint="eastAsia" w:ascii="宋体" w:hAnsi="宋体" w:eastAsia="宋体" w:cs="宋体"/>
          <w:color w:val="000000"/>
          <w:kern w:val="0"/>
          <w:sz w:val="22"/>
          <w:szCs w:val="24"/>
          <w:lang w:eastAsia="zh-CN"/>
        </w:rPr>
      </w:pPr>
      <w:r>
        <w:rPr>
          <w:rFonts w:hint="eastAsia" w:ascii="宋体" w:hAnsi="宋体" w:eastAsia="宋体" w:cs="宋体"/>
          <w:color w:val="000000"/>
          <w:kern w:val="0"/>
          <w:sz w:val="22"/>
          <w:szCs w:val="24"/>
          <w:lang w:eastAsia="zh-CN"/>
        </w:rPr>
        <w:t>2.对机动车驾驶人不在现场的违停车辆张贴北京市公安局公安交通管理局统一制式的《北京市交通协管员道路停车记录告知单》，并拍照取证，向所在地公安机关交通管理部门报告。</w:t>
      </w:r>
    </w:p>
    <w:p>
      <w:pPr>
        <w:keepNext w:val="0"/>
        <w:keepLines w:val="0"/>
        <w:pageBreakBefore w:val="0"/>
        <w:kinsoku/>
        <w:overflowPunct/>
        <w:topLinePunct w:val="0"/>
        <w:autoSpaceDE/>
        <w:autoSpaceDN/>
        <w:bidi w:val="0"/>
        <w:adjustRightInd/>
        <w:snapToGrid/>
        <w:spacing w:line="560" w:lineRule="exact"/>
        <w:ind w:firstLine="440" w:firstLineChars="200"/>
        <w:textAlignment w:val="auto"/>
        <w:outlineLvl w:val="0"/>
        <w:rPr>
          <w:rFonts w:hint="eastAsia" w:ascii="宋体" w:hAnsi="宋体" w:eastAsia="宋体" w:cs="宋体"/>
          <w:color w:val="000000"/>
          <w:kern w:val="0"/>
          <w:sz w:val="22"/>
          <w:szCs w:val="24"/>
          <w:lang w:eastAsia="zh-CN"/>
        </w:rPr>
      </w:pPr>
      <w:r>
        <w:rPr>
          <w:rFonts w:hint="eastAsia" w:ascii="宋体" w:hAnsi="宋体" w:eastAsia="宋体" w:cs="宋体"/>
          <w:color w:val="000000"/>
          <w:kern w:val="0"/>
          <w:sz w:val="22"/>
          <w:szCs w:val="24"/>
          <w:lang w:eastAsia="zh-CN"/>
        </w:rPr>
        <w:t>3.完成公安机关交通管理部门和区停车管理部门交办的工作任务，全面履行合同约定的职责。</w:t>
      </w:r>
    </w:p>
    <w:p>
      <w:pPr>
        <w:spacing w:line="600" w:lineRule="exact"/>
        <w:ind w:firstLine="440" w:firstLineChars="200"/>
        <w:rPr>
          <w:rFonts w:ascii="宋体" w:hAnsi="宋体" w:eastAsia="宋体" w:cs="宋体"/>
          <w:color w:val="000000"/>
          <w:kern w:val="0"/>
          <w:sz w:val="22"/>
          <w:szCs w:val="24"/>
        </w:rPr>
      </w:pPr>
    </w:p>
    <w:p>
      <w:pPr>
        <w:spacing w:line="600" w:lineRule="exact"/>
        <w:ind w:firstLine="442" w:firstLineChars="200"/>
        <w:rPr>
          <w:rFonts w:ascii="宋体" w:hAnsi="宋体" w:eastAsia="宋体" w:cs="宋体"/>
          <w:b/>
          <w:color w:val="000000"/>
          <w:kern w:val="0"/>
          <w:sz w:val="22"/>
          <w:szCs w:val="24"/>
        </w:rPr>
      </w:pPr>
      <w:r>
        <w:rPr>
          <w:rFonts w:hint="eastAsia" w:ascii="宋体" w:hAnsi="宋体" w:eastAsia="宋体" w:cs="宋体"/>
          <w:b/>
          <w:color w:val="000000"/>
          <w:kern w:val="0"/>
          <w:sz w:val="22"/>
          <w:szCs w:val="24"/>
        </w:rPr>
        <w:t>二、绩效评价工作开展情况</w:t>
      </w:r>
    </w:p>
    <w:p>
      <w:pPr>
        <w:keepNext w:val="0"/>
        <w:keepLines w:val="0"/>
        <w:pageBreakBefore w:val="0"/>
        <w:kinsoku/>
        <w:overflowPunct/>
        <w:topLinePunct w:val="0"/>
        <w:autoSpaceDE/>
        <w:autoSpaceDN/>
        <w:bidi w:val="0"/>
        <w:adjustRightInd/>
        <w:snapToGrid/>
        <w:spacing w:line="560" w:lineRule="exact"/>
        <w:ind w:firstLine="440" w:firstLineChars="200"/>
        <w:textAlignment w:val="auto"/>
        <w:rPr>
          <w:rFonts w:hint="eastAsia" w:ascii="宋体" w:hAnsi="宋体" w:eastAsia="宋体" w:cs="宋体"/>
          <w:color w:val="000000"/>
          <w:kern w:val="0"/>
          <w:sz w:val="22"/>
          <w:szCs w:val="24"/>
        </w:rPr>
      </w:pPr>
      <w:r>
        <w:rPr>
          <w:rFonts w:hint="eastAsia" w:ascii="宋体" w:hAnsi="宋体" w:eastAsia="宋体" w:cs="宋体"/>
          <w:color w:val="000000"/>
          <w:kern w:val="0"/>
          <w:sz w:val="22"/>
          <w:szCs w:val="24"/>
        </w:rPr>
        <w:t>（一）绩效评价目的、对象和范围。</w:t>
      </w:r>
    </w:p>
    <w:p>
      <w:pPr>
        <w:pStyle w:val="2"/>
        <w:keepNext w:val="0"/>
        <w:keepLines w:val="0"/>
        <w:pageBreakBefore w:val="0"/>
        <w:kinsoku/>
        <w:overflowPunct/>
        <w:topLinePunct w:val="0"/>
        <w:autoSpaceDE/>
        <w:autoSpaceDN/>
        <w:bidi w:val="0"/>
        <w:adjustRightInd/>
        <w:snapToGrid/>
        <w:spacing w:line="560" w:lineRule="exact"/>
        <w:ind w:firstLine="440" w:firstLineChars="200"/>
        <w:jc w:val="both"/>
        <w:textAlignment w:val="auto"/>
        <w:rPr>
          <w:rFonts w:hint="eastAsia" w:ascii="宋体" w:hAnsi="宋体" w:eastAsia="宋体" w:cs="宋体"/>
          <w:b w:val="0"/>
          <w:bCs w:val="0"/>
          <w:color w:val="000000"/>
          <w:kern w:val="0"/>
          <w:sz w:val="22"/>
          <w:szCs w:val="24"/>
          <w:lang w:val="en-US" w:eastAsia="zh-CN" w:bidi="ar-SA"/>
        </w:rPr>
      </w:pPr>
      <w:r>
        <w:rPr>
          <w:rFonts w:hint="eastAsia" w:ascii="宋体" w:hAnsi="宋体" w:eastAsia="宋体" w:cs="宋体"/>
          <w:b w:val="0"/>
          <w:bCs w:val="0"/>
          <w:color w:val="000000"/>
          <w:kern w:val="0"/>
          <w:sz w:val="22"/>
          <w:szCs w:val="24"/>
        </w:rPr>
        <w:t>评价目的</w:t>
      </w:r>
      <w:r>
        <w:rPr>
          <w:rFonts w:hint="eastAsia" w:ascii="宋体" w:hAnsi="宋体" w:eastAsia="宋体" w:cs="宋体"/>
          <w:b w:val="0"/>
          <w:bCs w:val="0"/>
          <w:color w:val="000000"/>
          <w:kern w:val="0"/>
          <w:sz w:val="22"/>
          <w:szCs w:val="24"/>
          <w:lang w:eastAsia="zh-CN"/>
        </w:rPr>
        <w:t>：</w:t>
      </w:r>
      <w:r>
        <w:rPr>
          <w:rFonts w:hint="eastAsia" w:ascii="宋体" w:hAnsi="宋体" w:eastAsia="宋体" w:cs="宋体"/>
          <w:b w:val="0"/>
          <w:bCs w:val="0"/>
          <w:color w:val="000000"/>
          <w:kern w:val="0"/>
          <w:sz w:val="22"/>
          <w:szCs w:val="24"/>
          <w:lang w:val="en-US" w:eastAsia="zh-CN" w:bidi="ar-SA"/>
        </w:rPr>
        <w:t>通过实施单位自评工作，提高本单位预算管理水平，优化资源配置，提高财政资金使用效益。</w:t>
      </w:r>
    </w:p>
    <w:p>
      <w:pPr>
        <w:pStyle w:val="3"/>
        <w:keepNext w:val="0"/>
        <w:keepLines w:val="0"/>
        <w:pageBreakBefore w:val="0"/>
        <w:kinsoku/>
        <w:overflowPunct/>
        <w:topLinePunct w:val="0"/>
        <w:autoSpaceDE/>
        <w:autoSpaceDN/>
        <w:bidi w:val="0"/>
        <w:adjustRightInd/>
        <w:snapToGrid/>
        <w:spacing w:line="560" w:lineRule="exact"/>
        <w:ind w:firstLine="440" w:firstLineChars="200"/>
        <w:textAlignment w:val="auto"/>
        <w:rPr>
          <w:rFonts w:hint="eastAsia"/>
          <w:lang w:val="en-US" w:eastAsia="zh-CN"/>
        </w:rPr>
      </w:pPr>
      <w:r>
        <w:rPr>
          <w:rFonts w:hint="eastAsia" w:ascii="宋体" w:hAnsi="宋体" w:eastAsia="宋体" w:cs="宋体"/>
          <w:color w:val="000000"/>
          <w:kern w:val="0"/>
          <w:sz w:val="22"/>
          <w:szCs w:val="24"/>
        </w:rPr>
        <w:t>对象和范围</w:t>
      </w:r>
      <w:r>
        <w:rPr>
          <w:rFonts w:hint="eastAsia" w:ascii="宋体" w:hAnsi="宋体" w:cs="宋体"/>
          <w:color w:val="000000"/>
          <w:kern w:val="0"/>
          <w:sz w:val="22"/>
          <w:szCs w:val="24"/>
          <w:lang w:eastAsia="zh-CN"/>
        </w:rPr>
        <w:t>：</w:t>
      </w:r>
      <w:r>
        <w:rPr>
          <w:rFonts w:hint="eastAsia"/>
          <w:lang w:val="en-US" w:eastAsia="zh-CN"/>
        </w:rPr>
        <w:t>我单位实施的：2024年西城区停车协管员工资经费项目，预算3525.072万元。</w:t>
      </w:r>
    </w:p>
    <w:p>
      <w:pPr>
        <w:keepNext w:val="0"/>
        <w:keepLines w:val="0"/>
        <w:pageBreakBefore w:val="0"/>
        <w:numPr>
          <w:ilvl w:val="0"/>
          <w:numId w:val="1"/>
        </w:numPr>
        <w:kinsoku/>
        <w:overflowPunct/>
        <w:topLinePunct w:val="0"/>
        <w:autoSpaceDE/>
        <w:autoSpaceDN/>
        <w:bidi w:val="0"/>
        <w:adjustRightInd/>
        <w:snapToGrid/>
        <w:spacing w:line="560" w:lineRule="exact"/>
        <w:ind w:left="0" w:leftChars="0" w:firstLine="440" w:firstLineChars="200"/>
        <w:textAlignment w:val="auto"/>
        <w:rPr>
          <w:rFonts w:hint="eastAsia" w:ascii="宋体" w:hAnsi="宋体" w:eastAsia="宋体" w:cs="宋体"/>
          <w:color w:val="000000"/>
          <w:kern w:val="0"/>
          <w:sz w:val="22"/>
          <w:szCs w:val="24"/>
          <w:highlight w:val="none"/>
        </w:rPr>
      </w:pPr>
      <w:r>
        <w:rPr>
          <w:rFonts w:hint="eastAsia" w:ascii="宋体" w:hAnsi="宋体" w:eastAsia="宋体" w:cs="宋体"/>
          <w:color w:val="000000"/>
          <w:kern w:val="0"/>
          <w:sz w:val="22"/>
          <w:szCs w:val="24"/>
          <w:highlight w:val="none"/>
        </w:rPr>
        <w:t>绩效评价原则、评价指标体系（附表说明）、评价方法、评价标准等。</w:t>
      </w:r>
    </w:p>
    <w:p>
      <w:pPr>
        <w:pStyle w:val="2"/>
        <w:keepNext w:val="0"/>
        <w:keepLines w:val="0"/>
        <w:pageBreakBefore w:val="0"/>
        <w:kinsoku/>
        <w:overflowPunct/>
        <w:topLinePunct w:val="0"/>
        <w:autoSpaceDE/>
        <w:autoSpaceDN/>
        <w:bidi w:val="0"/>
        <w:adjustRightInd/>
        <w:snapToGrid/>
        <w:spacing w:line="560" w:lineRule="exact"/>
        <w:ind w:firstLine="440" w:firstLineChars="200"/>
        <w:jc w:val="both"/>
        <w:textAlignment w:val="auto"/>
        <w:rPr>
          <w:rFonts w:hint="eastAsia" w:ascii="宋体" w:hAnsi="宋体" w:eastAsia="宋体" w:cs="宋体"/>
          <w:b w:val="0"/>
          <w:bCs w:val="0"/>
          <w:color w:val="000000"/>
          <w:kern w:val="0"/>
          <w:sz w:val="22"/>
          <w:szCs w:val="24"/>
          <w:highlight w:val="none"/>
          <w:lang w:val="en-US" w:eastAsia="zh-CN" w:bidi="ar-SA"/>
        </w:rPr>
      </w:pPr>
      <w:r>
        <w:rPr>
          <w:rFonts w:hint="eastAsia" w:ascii="宋体" w:hAnsi="宋体" w:eastAsia="宋体" w:cs="宋体"/>
          <w:b w:val="0"/>
          <w:bCs w:val="0"/>
          <w:color w:val="000000"/>
          <w:kern w:val="0"/>
          <w:sz w:val="22"/>
          <w:szCs w:val="24"/>
          <w:highlight w:val="none"/>
          <w:lang w:val="en-US" w:eastAsia="zh-CN" w:bidi="ar-SA"/>
        </w:rPr>
        <w:t>绩效评价原则：应遵循科学公正、统筹兼顾、激励约束、公开透明四项原则。</w:t>
      </w:r>
    </w:p>
    <w:p>
      <w:pPr>
        <w:pStyle w:val="2"/>
        <w:keepNext w:val="0"/>
        <w:keepLines w:val="0"/>
        <w:pageBreakBefore w:val="0"/>
        <w:kinsoku/>
        <w:overflowPunct/>
        <w:topLinePunct w:val="0"/>
        <w:autoSpaceDE/>
        <w:autoSpaceDN/>
        <w:bidi w:val="0"/>
        <w:adjustRightInd/>
        <w:snapToGrid/>
        <w:spacing w:line="560" w:lineRule="exact"/>
        <w:ind w:firstLine="440" w:firstLineChars="200"/>
        <w:jc w:val="both"/>
        <w:textAlignment w:val="auto"/>
        <w:rPr>
          <w:rFonts w:hint="eastAsia" w:ascii="宋体" w:hAnsi="宋体" w:eastAsia="宋体" w:cs="宋体"/>
          <w:b w:val="0"/>
          <w:bCs w:val="0"/>
          <w:color w:val="000000"/>
          <w:kern w:val="0"/>
          <w:sz w:val="22"/>
          <w:szCs w:val="24"/>
          <w:highlight w:val="none"/>
          <w:lang w:val="en-US" w:eastAsia="zh-CN" w:bidi="ar-SA"/>
        </w:rPr>
      </w:pPr>
      <w:r>
        <w:rPr>
          <w:rFonts w:hint="eastAsia" w:ascii="宋体" w:hAnsi="宋体" w:eastAsia="宋体" w:cs="宋体"/>
          <w:b w:val="0"/>
          <w:bCs w:val="0"/>
          <w:color w:val="000000"/>
          <w:kern w:val="0"/>
          <w:sz w:val="22"/>
          <w:szCs w:val="24"/>
          <w:highlight w:val="none"/>
          <w:lang w:val="en-US" w:eastAsia="zh-CN" w:bidi="ar-SA"/>
        </w:rPr>
        <w:t>评价指标体系：</w:t>
      </w:r>
    </w:p>
    <w:p>
      <w:pPr>
        <w:pStyle w:val="3"/>
        <w:rPr>
          <w:rFonts w:hint="eastAsia"/>
          <w:lang w:val="en-US" w:eastAsia="zh-CN"/>
        </w:rPr>
      </w:pPr>
    </w:p>
    <w:tbl>
      <w:tblPr>
        <w:tblStyle w:val="6"/>
        <w:tblW w:w="8928" w:type="dxa"/>
        <w:jc w:val="center"/>
        <w:tblLayout w:type="fixed"/>
        <w:tblCellMar>
          <w:top w:w="0" w:type="dxa"/>
          <w:left w:w="108" w:type="dxa"/>
          <w:bottom w:w="0" w:type="dxa"/>
          <w:right w:w="108" w:type="dxa"/>
        </w:tblCellMar>
      </w:tblPr>
      <w:tblGrid>
        <w:gridCol w:w="578"/>
        <w:gridCol w:w="963"/>
        <w:gridCol w:w="996"/>
        <w:gridCol w:w="2265"/>
        <w:gridCol w:w="781"/>
        <w:gridCol w:w="837"/>
        <w:gridCol w:w="476"/>
        <w:gridCol w:w="2032"/>
      </w:tblGrid>
      <w:tr>
        <w:tblPrEx>
          <w:tblCellMar>
            <w:top w:w="0" w:type="dxa"/>
            <w:left w:w="108" w:type="dxa"/>
            <w:bottom w:w="0" w:type="dxa"/>
            <w:right w:w="108" w:type="dxa"/>
          </w:tblCellMar>
        </w:tblPrEx>
        <w:trPr>
          <w:trHeight w:val="517" w:hRule="exact"/>
          <w:jc w:val="center"/>
        </w:trPr>
        <w:tc>
          <w:tcPr>
            <w:tcW w:w="578"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绩</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效</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指</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标</w:t>
            </w:r>
          </w:p>
        </w:tc>
        <w:tc>
          <w:tcPr>
            <w:tcW w:w="96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一级指标</w:t>
            </w:r>
          </w:p>
        </w:tc>
        <w:tc>
          <w:tcPr>
            <w:tcW w:w="99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二级指标</w:t>
            </w:r>
          </w:p>
        </w:tc>
        <w:tc>
          <w:tcPr>
            <w:tcW w:w="226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三级指标</w:t>
            </w:r>
          </w:p>
        </w:tc>
        <w:tc>
          <w:tcPr>
            <w:tcW w:w="781"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指标值</w:t>
            </w:r>
          </w:p>
        </w:tc>
        <w:tc>
          <w:tcPr>
            <w:tcW w:w="837"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完成值</w:t>
            </w:r>
          </w:p>
        </w:tc>
        <w:tc>
          <w:tcPr>
            <w:tcW w:w="47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203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eastAsia="zh-CN"/>
              </w:rPr>
              <w:t>评分要点</w:t>
            </w:r>
            <w:r>
              <w:rPr>
                <w:rFonts w:hint="eastAsia" w:ascii="宋体" w:hAnsi="宋体" w:eastAsia="宋体" w:cs="宋体"/>
                <w:kern w:val="0"/>
                <w:sz w:val="18"/>
                <w:szCs w:val="18"/>
              </w:rPr>
              <w:t>措施</w:t>
            </w:r>
          </w:p>
        </w:tc>
      </w:tr>
      <w:tr>
        <w:tblPrEx>
          <w:tblCellMar>
            <w:top w:w="0" w:type="dxa"/>
            <w:left w:w="108" w:type="dxa"/>
            <w:bottom w:w="0" w:type="dxa"/>
            <w:right w:w="108" w:type="dxa"/>
          </w:tblCellMar>
        </w:tblPrEx>
        <w:trPr>
          <w:trHeight w:val="2188" w:hRule="exact"/>
          <w:jc w:val="center"/>
        </w:trPr>
        <w:tc>
          <w:tcPr>
            <w:tcW w:w="57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rPr>
              <w:t>产出指标</w:t>
            </w:r>
            <w:r>
              <w:rPr>
                <w:rFonts w:hint="eastAsia" w:ascii="宋体" w:hAnsi="宋体" w:eastAsia="宋体" w:cs="宋体"/>
                <w:kern w:val="0"/>
                <w:sz w:val="18"/>
                <w:szCs w:val="18"/>
                <w:lang w:eastAsia="zh-CN"/>
              </w:rPr>
              <w:t>（</w:t>
            </w:r>
            <w:r>
              <w:rPr>
                <w:rFonts w:hint="eastAsia" w:ascii="宋体" w:hAnsi="宋体" w:eastAsia="宋体" w:cs="宋体"/>
                <w:kern w:val="0"/>
                <w:sz w:val="18"/>
                <w:szCs w:val="18"/>
                <w:lang w:val="en-US" w:eastAsia="zh-CN"/>
              </w:rPr>
              <w:t>50分</w:t>
            </w:r>
            <w:r>
              <w:rPr>
                <w:rFonts w:hint="eastAsia" w:ascii="宋体" w:hAnsi="宋体" w:eastAsia="宋体" w:cs="宋体"/>
                <w:kern w:val="0"/>
                <w:sz w:val="18"/>
                <w:szCs w:val="18"/>
                <w:lang w:eastAsia="zh-CN"/>
              </w:rPr>
              <w:t>）</w:t>
            </w:r>
          </w:p>
        </w:tc>
        <w:tc>
          <w:tcPr>
            <w:tcW w:w="99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rPr>
              <w:t>数量指标</w:t>
            </w:r>
            <w:r>
              <w:rPr>
                <w:rFonts w:hint="eastAsia" w:ascii="宋体" w:hAnsi="宋体" w:eastAsia="宋体" w:cs="宋体"/>
                <w:kern w:val="0"/>
                <w:sz w:val="18"/>
                <w:szCs w:val="18"/>
                <w:lang w:eastAsia="zh-CN"/>
              </w:rPr>
              <w:t>（</w:t>
            </w:r>
            <w:r>
              <w:rPr>
                <w:rFonts w:hint="eastAsia" w:ascii="宋体" w:hAnsi="宋体" w:eastAsia="宋体" w:cs="宋体"/>
                <w:kern w:val="0"/>
                <w:sz w:val="18"/>
                <w:szCs w:val="18"/>
                <w:lang w:val="en-US" w:eastAsia="zh-CN"/>
              </w:rPr>
              <w:t>16分</w:t>
            </w:r>
            <w:r>
              <w:rPr>
                <w:rFonts w:hint="eastAsia" w:ascii="宋体" w:hAnsi="宋体" w:eastAsia="宋体" w:cs="宋体"/>
                <w:kern w:val="0"/>
                <w:sz w:val="18"/>
                <w:szCs w:val="18"/>
                <w:lang w:eastAsia="zh-CN"/>
              </w:rPr>
              <w:t>）</w:t>
            </w:r>
          </w:p>
        </w:tc>
        <w:tc>
          <w:tcPr>
            <w:tcW w:w="226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我区第一批停车协管员170人，第二批停车协管员150人，</w:t>
            </w:r>
            <w:r>
              <w:rPr>
                <w:rFonts w:hint="eastAsia" w:ascii="宋体" w:hAnsi="宋体" w:eastAsia="宋体" w:cs="宋体"/>
                <w:color w:val="000000"/>
                <w:kern w:val="0"/>
                <w:sz w:val="18"/>
                <w:szCs w:val="18"/>
                <w:lang w:eastAsia="zh-CN"/>
              </w:rPr>
              <w:t>第三批</w:t>
            </w:r>
            <w:r>
              <w:rPr>
                <w:rFonts w:hint="eastAsia" w:ascii="宋体" w:hAnsi="宋体" w:eastAsia="宋体" w:cs="宋体"/>
                <w:color w:val="000000"/>
                <w:kern w:val="0"/>
                <w:sz w:val="18"/>
                <w:szCs w:val="18"/>
                <w:lang w:val="en-US" w:eastAsia="zh-CN"/>
              </w:rPr>
              <w:t>120人</w:t>
            </w:r>
            <w:r>
              <w:rPr>
                <w:rFonts w:hint="eastAsia" w:ascii="宋体" w:hAnsi="宋体" w:eastAsia="宋体" w:cs="宋体"/>
                <w:color w:val="000000"/>
                <w:kern w:val="0"/>
                <w:sz w:val="18"/>
                <w:szCs w:val="18"/>
              </w:rPr>
              <w:t>共计</w:t>
            </w:r>
            <w:r>
              <w:rPr>
                <w:rFonts w:hint="eastAsia" w:ascii="宋体" w:hAnsi="宋体" w:eastAsia="宋体" w:cs="宋体"/>
                <w:color w:val="000000"/>
                <w:kern w:val="0"/>
                <w:sz w:val="18"/>
                <w:szCs w:val="18"/>
                <w:lang w:val="en-US" w:eastAsia="zh-CN"/>
              </w:rPr>
              <w:t>44</w:t>
            </w:r>
            <w:r>
              <w:rPr>
                <w:rFonts w:hint="eastAsia" w:ascii="宋体" w:hAnsi="宋体" w:eastAsia="宋体" w:cs="宋体"/>
                <w:color w:val="000000"/>
                <w:kern w:val="0"/>
                <w:sz w:val="18"/>
                <w:szCs w:val="18"/>
              </w:rPr>
              <w:t>0人。</w:t>
            </w:r>
          </w:p>
        </w:tc>
        <w:tc>
          <w:tcPr>
            <w:tcW w:w="781"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=440人</w:t>
            </w:r>
          </w:p>
        </w:tc>
        <w:tc>
          <w:tcPr>
            <w:tcW w:w="837"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both"/>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403人</w:t>
            </w:r>
          </w:p>
        </w:tc>
        <w:tc>
          <w:tcPr>
            <w:tcW w:w="47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16</w:t>
            </w:r>
          </w:p>
        </w:tc>
        <w:tc>
          <w:tcPr>
            <w:tcW w:w="203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both"/>
              <w:rPr>
                <w:rFonts w:hint="default" w:ascii="宋体" w:hAnsi="宋体" w:eastAsia="宋体" w:cs="宋体"/>
                <w:kern w:val="0"/>
                <w:sz w:val="18"/>
                <w:szCs w:val="18"/>
                <w:lang w:val="en-US" w:eastAsia="zh-CN"/>
              </w:rPr>
            </w:pPr>
            <w:r>
              <w:rPr>
                <w:rFonts w:hint="eastAsia" w:ascii="宋体" w:hAnsi="宋体" w:eastAsia="宋体" w:cs="宋体"/>
                <w:kern w:val="0"/>
                <w:sz w:val="18"/>
                <w:szCs w:val="18"/>
              </w:rPr>
              <w:t>由于客观因素我委要求劳务派遣公司</w:t>
            </w:r>
            <w:r>
              <w:rPr>
                <w:rFonts w:hint="eastAsia" w:ascii="宋体" w:hAnsi="宋体" w:eastAsia="宋体" w:cs="宋体"/>
                <w:kern w:val="0"/>
                <w:sz w:val="18"/>
                <w:szCs w:val="18"/>
                <w:lang w:eastAsia="zh-CN"/>
              </w:rPr>
              <w:t>待人员合同期满后不再进行补充，因此此项不扣分。</w:t>
            </w:r>
          </w:p>
        </w:tc>
      </w:tr>
      <w:tr>
        <w:tblPrEx>
          <w:tblCellMar>
            <w:top w:w="0" w:type="dxa"/>
            <w:left w:w="108" w:type="dxa"/>
            <w:bottom w:w="0" w:type="dxa"/>
            <w:right w:w="108" w:type="dxa"/>
          </w:tblCellMar>
        </w:tblPrEx>
        <w:trPr>
          <w:trHeight w:val="1233" w:hRule="exact"/>
          <w:jc w:val="center"/>
        </w:trPr>
        <w:tc>
          <w:tcPr>
            <w:tcW w:w="57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9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质量指标</w:t>
            </w:r>
            <w:r>
              <w:rPr>
                <w:rFonts w:hint="eastAsia" w:ascii="宋体" w:hAnsi="宋体" w:eastAsia="宋体" w:cs="宋体"/>
                <w:kern w:val="0"/>
                <w:sz w:val="18"/>
                <w:szCs w:val="18"/>
                <w:lang w:eastAsia="zh-CN"/>
              </w:rPr>
              <w:t>（</w:t>
            </w:r>
            <w:r>
              <w:rPr>
                <w:rFonts w:hint="eastAsia" w:ascii="宋体" w:hAnsi="宋体" w:eastAsia="宋体" w:cs="宋体"/>
                <w:kern w:val="0"/>
                <w:sz w:val="18"/>
                <w:szCs w:val="18"/>
                <w:lang w:val="en-US" w:eastAsia="zh-CN"/>
              </w:rPr>
              <w:t>16分</w:t>
            </w:r>
            <w:r>
              <w:rPr>
                <w:rFonts w:hint="eastAsia" w:ascii="宋体" w:hAnsi="宋体" w:eastAsia="宋体" w:cs="宋体"/>
                <w:kern w:val="0"/>
                <w:sz w:val="18"/>
                <w:szCs w:val="18"/>
                <w:lang w:eastAsia="zh-CN"/>
              </w:rPr>
              <w:t>）</w:t>
            </w:r>
          </w:p>
        </w:tc>
        <w:tc>
          <w:tcPr>
            <w:tcW w:w="226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按照“区招区管、队训对认”的要求做好招录工作。</w:t>
            </w:r>
          </w:p>
        </w:tc>
        <w:tc>
          <w:tcPr>
            <w:tcW w:w="781"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1项</w:t>
            </w:r>
          </w:p>
        </w:tc>
        <w:tc>
          <w:tcPr>
            <w:tcW w:w="837"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1项</w:t>
            </w:r>
          </w:p>
        </w:tc>
        <w:tc>
          <w:tcPr>
            <w:tcW w:w="47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16</w:t>
            </w:r>
          </w:p>
        </w:tc>
        <w:tc>
          <w:tcPr>
            <w:tcW w:w="203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both"/>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w:t>
            </w:r>
            <w:r>
              <w:rPr>
                <w:rFonts w:hint="eastAsia" w:ascii="宋体" w:hAnsi="宋体" w:eastAsia="宋体" w:cs="宋体"/>
                <w:kern w:val="0"/>
                <w:sz w:val="18"/>
                <w:szCs w:val="18"/>
                <w:lang w:eastAsia="zh-CN"/>
              </w:rPr>
              <w:t>能够按照相关标准做好招录标准的，完成</w:t>
            </w:r>
            <w:r>
              <w:rPr>
                <w:rFonts w:hint="eastAsia" w:ascii="宋体" w:hAnsi="宋体" w:eastAsia="宋体" w:cs="宋体"/>
                <w:kern w:val="0"/>
                <w:sz w:val="18"/>
                <w:szCs w:val="18"/>
                <w:lang w:val="en-US" w:eastAsia="zh-CN"/>
              </w:rPr>
              <w:t>1项，10分；</w:t>
            </w:r>
          </w:p>
          <w:p>
            <w:pPr>
              <w:widowControl/>
              <w:spacing w:line="240" w:lineRule="exact"/>
              <w:jc w:val="both"/>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2.未按标准招录的，每1人不符合标准，扣1分，扣完为止。</w:t>
            </w:r>
          </w:p>
        </w:tc>
      </w:tr>
      <w:tr>
        <w:tblPrEx>
          <w:tblCellMar>
            <w:top w:w="0" w:type="dxa"/>
            <w:left w:w="108" w:type="dxa"/>
            <w:bottom w:w="0" w:type="dxa"/>
            <w:right w:w="108" w:type="dxa"/>
          </w:tblCellMar>
        </w:tblPrEx>
        <w:trPr>
          <w:trHeight w:val="1486" w:hRule="exact"/>
          <w:jc w:val="center"/>
        </w:trPr>
        <w:tc>
          <w:tcPr>
            <w:tcW w:w="57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9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时效指标</w:t>
            </w:r>
            <w:r>
              <w:rPr>
                <w:rFonts w:hint="eastAsia" w:ascii="宋体" w:hAnsi="宋体" w:eastAsia="宋体" w:cs="宋体"/>
                <w:kern w:val="0"/>
                <w:sz w:val="18"/>
                <w:szCs w:val="18"/>
                <w:lang w:eastAsia="zh-CN"/>
              </w:rPr>
              <w:t>（</w:t>
            </w:r>
            <w:r>
              <w:rPr>
                <w:rFonts w:hint="eastAsia" w:ascii="宋体" w:hAnsi="宋体" w:eastAsia="宋体" w:cs="宋体"/>
                <w:kern w:val="0"/>
                <w:sz w:val="18"/>
                <w:szCs w:val="18"/>
                <w:lang w:val="en-US" w:eastAsia="zh-CN"/>
              </w:rPr>
              <w:t>9分</w:t>
            </w:r>
            <w:r>
              <w:rPr>
                <w:rFonts w:hint="eastAsia" w:ascii="宋体" w:hAnsi="宋体" w:eastAsia="宋体" w:cs="宋体"/>
                <w:kern w:val="0"/>
                <w:sz w:val="18"/>
                <w:szCs w:val="18"/>
                <w:lang w:eastAsia="zh-CN"/>
              </w:rPr>
              <w:t>）</w:t>
            </w:r>
          </w:p>
        </w:tc>
        <w:tc>
          <w:tcPr>
            <w:tcW w:w="226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按月支付</w:t>
            </w:r>
          </w:p>
        </w:tc>
        <w:tc>
          <w:tcPr>
            <w:tcW w:w="781" w:type="dxa"/>
            <w:tcBorders>
              <w:top w:val="single" w:color="auto" w:sz="4" w:space="0"/>
              <w:left w:val="single" w:color="auto" w:sz="4" w:space="0"/>
              <w:bottom w:val="single" w:color="auto" w:sz="4" w:space="0"/>
              <w:right w:val="single" w:color="auto" w:sz="4" w:space="0"/>
            </w:tcBorders>
            <w:vAlign w:val="center"/>
          </w:tcPr>
          <w:p>
            <w:pPr>
              <w:widowControl/>
              <w:tabs>
                <w:tab w:val="left" w:pos="285"/>
              </w:tabs>
              <w:spacing w:line="240" w:lineRule="exact"/>
              <w:jc w:val="left"/>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w:t>
            </w:r>
            <w:r>
              <w:rPr>
                <w:rFonts w:hint="eastAsia" w:ascii="宋体" w:hAnsi="宋体" w:eastAsia="宋体" w:cs="宋体"/>
                <w:kern w:val="0"/>
                <w:sz w:val="18"/>
                <w:szCs w:val="18"/>
                <w:lang w:val="en-US" w:eastAsia="zh-CN"/>
              </w:rPr>
              <w:t>6500人/月</w:t>
            </w:r>
          </w:p>
        </w:tc>
        <w:tc>
          <w:tcPr>
            <w:tcW w:w="837" w:type="dxa"/>
            <w:tcBorders>
              <w:top w:val="single" w:color="auto" w:sz="4" w:space="0"/>
              <w:left w:val="single" w:color="auto" w:sz="4" w:space="0"/>
              <w:bottom w:val="single" w:color="auto" w:sz="4" w:space="0"/>
              <w:right w:val="single" w:color="auto" w:sz="4" w:space="0"/>
            </w:tcBorders>
            <w:vAlign w:val="center"/>
          </w:tcPr>
          <w:p>
            <w:pPr>
              <w:widowControl/>
              <w:tabs>
                <w:tab w:val="left" w:pos="285"/>
              </w:tabs>
              <w:spacing w:line="240" w:lineRule="exact"/>
              <w:jc w:val="left"/>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eastAsia="zh-CN"/>
              </w:rPr>
              <w:t>≤</w:t>
            </w:r>
            <w:r>
              <w:rPr>
                <w:rFonts w:hint="eastAsia" w:ascii="宋体" w:hAnsi="宋体" w:eastAsia="宋体" w:cs="宋体"/>
                <w:kern w:val="0"/>
                <w:sz w:val="18"/>
                <w:szCs w:val="18"/>
                <w:lang w:val="en-US" w:eastAsia="zh-CN"/>
              </w:rPr>
              <w:t>6500人/月</w:t>
            </w:r>
          </w:p>
        </w:tc>
        <w:tc>
          <w:tcPr>
            <w:tcW w:w="47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9</w:t>
            </w:r>
          </w:p>
        </w:tc>
        <w:tc>
          <w:tcPr>
            <w:tcW w:w="203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both"/>
              <w:rPr>
                <w:rFonts w:hint="eastAsia"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1.停车协管员工资按时发放的，9分；</w:t>
            </w:r>
          </w:p>
          <w:p>
            <w:pPr>
              <w:widowControl/>
              <w:spacing w:line="240" w:lineRule="exact"/>
              <w:jc w:val="both"/>
              <w:rPr>
                <w:rFonts w:hint="default"/>
                <w:lang w:val="en-US" w:eastAsia="zh-CN"/>
              </w:rPr>
            </w:pPr>
            <w:r>
              <w:rPr>
                <w:rFonts w:hint="eastAsia" w:ascii="宋体" w:hAnsi="宋体" w:eastAsia="宋体" w:cs="宋体"/>
                <w:kern w:val="0"/>
                <w:sz w:val="18"/>
                <w:szCs w:val="18"/>
                <w:highlight w:val="none"/>
                <w:lang w:val="en-US" w:eastAsia="zh-CN"/>
              </w:rPr>
              <w:t>2.每逾期1天扣5分，扣完为止（如无特殊政策调整等情况）。</w:t>
            </w:r>
          </w:p>
        </w:tc>
      </w:tr>
      <w:tr>
        <w:tblPrEx>
          <w:tblCellMar>
            <w:top w:w="0" w:type="dxa"/>
            <w:left w:w="108" w:type="dxa"/>
            <w:bottom w:w="0" w:type="dxa"/>
            <w:right w:w="108" w:type="dxa"/>
          </w:tblCellMar>
        </w:tblPrEx>
        <w:trPr>
          <w:trHeight w:val="1457" w:hRule="exact"/>
          <w:jc w:val="center"/>
        </w:trPr>
        <w:tc>
          <w:tcPr>
            <w:tcW w:w="57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9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成本指标</w:t>
            </w:r>
            <w:r>
              <w:rPr>
                <w:rFonts w:hint="eastAsia" w:ascii="宋体" w:hAnsi="宋体" w:eastAsia="宋体" w:cs="宋体"/>
                <w:kern w:val="0"/>
                <w:sz w:val="18"/>
                <w:szCs w:val="18"/>
                <w:lang w:eastAsia="zh-CN"/>
              </w:rPr>
              <w:t>（</w:t>
            </w:r>
            <w:r>
              <w:rPr>
                <w:rFonts w:hint="eastAsia" w:ascii="宋体" w:hAnsi="宋体" w:eastAsia="宋体" w:cs="宋体"/>
                <w:kern w:val="0"/>
                <w:sz w:val="18"/>
                <w:szCs w:val="18"/>
                <w:lang w:val="en-US" w:eastAsia="zh-CN"/>
              </w:rPr>
              <w:t>9分</w:t>
            </w:r>
            <w:r>
              <w:rPr>
                <w:rFonts w:hint="eastAsia" w:ascii="宋体" w:hAnsi="宋体" w:eastAsia="宋体" w:cs="宋体"/>
                <w:kern w:val="0"/>
                <w:sz w:val="18"/>
                <w:szCs w:val="18"/>
                <w:lang w:eastAsia="zh-CN"/>
              </w:rPr>
              <w:t>）</w:t>
            </w:r>
          </w:p>
        </w:tc>
        <w:tc>
          <w:tcPr>
            <w:tcW w:w="226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rPr>
              <w:t>202</w:t>
            </w:r>
            <w:r>
              <w:rPr>
                <w:rFonts w:hint="eastAsia" w:ascii="宋体" w:hAnsi="宋体" w:eastAsia="宋体" w:cs="宋体"/>
                <w:color w:val="000000"/>
                <w:kern w:val="0"/>
                <w:sz w:val="18"/>
                <w:szCs w:val="18"/>
                <w:lang w:val="en-US" w:eastAsia="zh-CN"/>
              </w:rPr>
              <w:t>4</w:t>
            </w:r>
            <w:r>
              <w:rPr>
                <w:rFonts w:hint="eastAsia" w:ascii="宋体" w:hAnsi="宋体" w:eastAsia="宋体" w:cs="宋体"/>
                <w:color w:val="000000"/>
                <w:kern w:val="0"/>
                <w:sz w:val="18"/>
                <w:szCs w:val="18"/>
              </w:rPr>
              <w:t>年西城区停车协管员工资</w:t>
            </w:r>
            <w:r>
              <w:rPr>
                <w:rFonts w:hint="eastAsia" w:ascii="宋体" w:hAnsi="宋体" w:eastAsia="宋体" w:cs="宋体"/>
                <w:color w:val="000000"/>
                <w:kern w:val="0"/>
                <w:sz w:val="18"/>
                <w:szCs w:val="18"/>
                <w:lang w:eastAsia="zh-CN"/>
              </w:rPr>
              <w:t>成本</w:t>
            </w:r>
          </w:p>
        </w:tc>
        <w:tc>
          <w:tcPr>
            <w:tcW w:w="781"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both"/>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eastAsia="zh-CN"/>
              </w:rPr>
              <w:t>≤</w:t>
            </w:r>
            <w:r>
              <w:rPr>
                <w:rFonts w:hint="eastAsia" w:ascii="宋体" w:hAnsi="宋体" w:eastAsia="宋体" w:cs="宋体"/>
                <w:kern w:val="0"/>
                <w:sz w:val="18"/>
                <w:szCs w:val="18"/>
                <w:lang w:val="en-US" w:eastAsia="zh-CN"/>
              </w:rPr>
              <w:t>3525万元</w:t>
            </w:r>
          </w:p>
        </w:tc>
        <w:tc>
          <w:tcPr>
            <w:tcW w:w="837"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eastAsia="zh-CN"/>
              </w:rPr>
              <w:t>≤</w:t>
            </w:r>
            <w:r>
              <w:rPr>
                <w:rFonts w:hint="eastAsia" w:ascii="宋体" w:hAnsi="宋体" w:eastAsia="宋体" w:cs="宋体"/>
                <w:kern w:val="0"/>
                <w:sz w:val="18"/>
                <w:szCs w:val="18"/>
                <w:lang w:val="en-US" w:eastAsia="zh-CN"/>
              </w:rPr>
              <w:t>3525万元</w:t>
            </w:r>
          </w:p>
        </w:tc>
        <w:tc>
          <w:tcPr>
            <w:tcW w:w="47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9</w:t>
            </w:r>
          </w:p>
        </w:tc>
        <w:tc>
          <w:tcPr>
            <w:tcW w:w="203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both"/>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1.2024年度</w:t>
            </w:r>
            <w:r>
              <w:rPr>
                <w:rFonts w:hint="eastAsia" w:ascii="宋体" w:hAnsi="宋体" w:eastAsia="宋体" w:cs="宋体"/>
                <w:color w:val="000000"/>
                <w:kern w:val="0"/>
                <w:sz w:val="18"/>
                <w:szCs w:val="18"/>
              </w:rPr>
              <w:t>西城区停车协管员工资</w:t>
            </w:r>
            <w:r>
              <w:rPr>
                <w:rFonts w:hint="eastAsia" w:ascii="宋体" w:hAnsi="宋体" w:eastAsia="宋体" w:cs="宋体"/>
                <w:color w:val="000000"/>
                <w:kern w:val="0"/>
                <w:sz w:val="18"/>
                <w:szCs w:val="18"/>
                <w:lang w:eastAsia="zh-CN"/>
              </w:rPr>
              <w:t>成本不高于</w:t>
            </w:r>
            <w:r>
              <w:rPr>
                <w:rFonts w:hint="eastAsia" w:ascii="宋体" w:hAnsi="宋体" w:eastAsia="宋体" w:cs="宋体"/>
                <w:kern w:val="0"/>
                <w:sz w:val="18"/>
                <w:szCs w:val="18"/>
                <w:lang w:val="en-US" w:eastAsia="zh-CN"/>
              </w:rPr>
              <w:t>3525</w:t>
            </w:r>
            <w:r>
              <w:rPr>
                <w:rFonts w:hint="eastAsia" w:ascii="宋体" w:hAnsi="宋体" w:eastAsia="宋体" w:cs="宋体"/>
                <w:color w:val="000000"/>
                <w:kern w:val="0"/>
                <w:sz w:val="18"/>
                <w:szCs w:val="18"/>
                <w:lang w:val="en-US" w:eastAsia="zh-CN"/>
              </w:rPr>
              <w:t>万元，</w:t>
            </w:r>
            <w:r>
              <w:rPr>
                <w:rFonts w:hint="eastAsia" w:ascii="宋体" w:hAnsi="宋体" w:eastAsia="宋体" w:cs="宋体"/>
                <w:kern w:val="0"/>
                <w:sz w:val="18"/>
                <w:szCs w:val="18"/>
                <w:lang w:eastAsia="zh-CN"/>
              </w:rPr>
              <w:t>全年完成</w:t>
            </w:r>
            <w:r>
              <w:rPr>
                <w:rFonts w:hint="eastAsia" w:ascii="宋体" w:hAnsi="宋体" w:eastAsia="宋体" w:cs="宋体"/>
                <w:kern w:val="0"/>
                <w:sz w:val="18"/>
                <w:szCs w:val="18"/>
                <w:lang w:val="en-US" w:eastAsia="zh-CN"/>
              </w:rPr>
              <w:t>，10分；</w:t>
            </w:r>
          </w:p>
          <w:p>
            <w:pPr>
              <w:widowControl/>
              <w:spacing w:line="240" w:lineRule="exact"/>
              <w:jc w:val="both"/>
              <w:rPr>
                <w:rFonts w:hint="default" w:ascii="宋体" w:hAnsi="宋体" w:eastAsia="宋体" w:cs="宋体"/>
                <w:kern w:val="0"/>
                <w:sz w:val="18"/>
                <w:szCs w:val="18"/>
                <w:lang w:val="en-US"/>
              </w:rPr>
            </w:pPr>
            <w:r>
              <w:rPr>
                <w:rFonts w:hint="eastAsia" w:ascii="宋体" w:hAnsi="宋体" w:eastAsia="宋体" w:cs="宋体"/>
                <w:kern w:val="0"/>
                <w:sz w:val="18"/>
                <w:szCs w:val="18"/>
                <w:lang w:val="en-US" w:eastAsia="zh-CN"/>
              </w:rPr>
              <w:t>2.预算每超出10万元，扣1分。</w:t>
            </w:r>
          </w:p>
        </w:tc>
      </w:tr>
      <w:tr>
        <w:tblPrEx>
          <w:tblCellMar>
            <w:top w:w="0" w:type="dxa"/>
            <w:left w:w="108" w:type="dxa"/>
            <w:bottom w:w="0" w:type="dxa"/>
            <w:right w:w="108" w:type="dxa"/>
          </w:tblCellMar>
        </w:tblPrEx>
        <w:trPr>
          <w:trHeight w:val="1725" w:hRule="exact"/>
          <w:jc w:val="center"/>
        </w:trPr>
        <w:tc>
          <w:tcPr>
            <w:tcW w:w="57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restart"/>
            <w:tcBorders>
              <w:top w:val="single" w:color="auto" w:sz="4" w:space="0"/>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效益指标</w:t>
            </w:r>
            <w:r>
              <w:rPr>
                <w:rFonts w:hint="eastAsia" w:ascii="宋体" w:hAnsi="宋体" w:eastAsia="宋体" w:cs="宋体"/>
                <w:kern w:val="0"/>
                <w:sz w:val="18"/>
                <w:szCs w:val="18"/>
                <w:highlight w:val="none"/>
                <w:lang w:eastAsia="zh-CN"/>
              </w:rPr>
              <w:t>（</w:t>
            </w:r>
            <w:r>
              <w:rPr>
                <w:rFonts w:hint="eastAsia" w:ascii="宋体" w:hAnsi="宋体" w:eastAsia="宋体" w:cs="宋体"/>
                <w:kern w:val="0"/>
                <w:sz w:val="18"/>
                <w:szCs w:val="18"/>
                <w:highlight w:val="none"/>
                <w:lang w:val="en-US" w:eastAsia="zh-CN"/>
              </w:rPr>
              <w:t>30分</w:t>
            </w:r>
            <w:r>
              <w:rPr>
                <w:rFonts w:hint="eastAsia" w:ascii="宋体" w:hAnsi="宋体" w:eastAsia="宋体" w:cs="宋体"/>
                <w:kern w:val="0"/>
                <w:sz w:val="18"/>
                <w:szCs w:val="18"/>
                <w:highlight w:val="none"/>
                <w:lang w:eastAsia="zh-CN"/>
              </w:rPr>
              <w:t>）</w:t>
            </w:r>
          </w:p>
        </w:tc>
        <w:tc>
          <w:tcPr>
            <w:tcW w:w="99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highlight w:val="none"/>
              </w:rPr>
            </w:pPr>
            <w:r>
              <w:rPr>
                <w:rFonts w:hint="eastAsia" w:ascii="宋体" w:hAnsi="宋体" w:eastAsia="宋体" w:cs="宋体"/>
                <w:kern w:val="0"/>
                <w:sz w:val="18"/>
                <w:szCs w:val="18"/>
                <w:highlight w:val="none"/>
                <w:lang w:eastAsia="zh-CN"/>
              </w:rPr>
              <w:t>社会</w:t>
            </w:r>
            <w:r>
              <w:rPr>
                <w:rFonts w:hint="eastAsia" w:ascii="宋体" w:hAnsi="宋体" w:eastAsia="宋体" w:cs="宋体"/>
                <w:kern w:val="0"/>
                <w:sz w:val="18"/>
                <w:szCs w:val="18"/>
                <w:highlight w:val="none"/>
              </w:rPr>
              <w:t>效益指标</w:t>
            </w:r>
          </w:p>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lang w:eastAsia="zh-CN"/>
              </w:rPr>
              <w:t>（</w:t>
            </w:r>
            <w:r>
              <w:rPr>
                <w:rFonts w:hint="eastAsia" w:ascii="宋体" w:hAnsi="宋体" w:eastAsia="宋体" w:cs="宋体"/>
                <w:kern w:val="0"/>
                <w:sz w:val="18"/>
                <w:szCs w:val="18"/>
                <w:highlight w:val="none"/>
                <w:lang w:val="en-US" w:eastAsia="zh-CN"/>
              </w:rPr>
              <w:t>15分</w:t>
            </w:r>
            <w:r>
              <w:rPr>
                <w:rFonts w:hint="eastAsia" w:ascii="宋体" w:hAnsi="宋体" w:eastAsia="宋体" w:cs="宋体"/>
                <w:kern w:val="0"/>
                <w:sz w:val="18"/>
                <w:szCs w:val="18"/>
                <w:highlight w:val="none"/>
                <w:lang w:eastAsia="zh-CN"/>
              </w:rPr>
              <w:t>）</w:t>
            </w:r>
          </w:p>
        </w:tc>
        <w:tc>
          <w:tcPr>
            <w:tcW w:w="226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能够及时、有力的处置各类突发情况，做好停车治理工作，确保城市运行安全。</w:t>
            </w:r>
          </w:p>
        </w:tc>
        <w:tc>
          <w:tcPr>
            <w:tcW w:w="781"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1项</w:t>
            </w:r>
          </w:p>
        </w:tc>
        <w:tc>
          <w:tcPr>
            <w:tcW w:w="837"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1项</w:t>
            </w:r>
          </w:p>
        </w:tc>
        <w:tc>
          <w:tcPr>
            <w:tcW w:w="47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w:t>
            </w:r>
          </w:p>
        </w:tc>
        <w:tc>
          <w:tcPr>
            <w:tcW w:w="203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both"/>
              <w:rPr>
                <w:rFonts w:ascii="宋体" w:hAnsi="宋体" w:eastAsia="宋体" w:cs="宋体"/>
                <w:kern w:val="0"/>
                <w:sz w:val="18"/>
                <w:szCs w:val="18"/>
              </w:rPr>
            </w:pPr>
            <w:r>
              <w:rPr>
                <w:rFonts w:hint="eastAsia" w:ascii="宋体" w:hAnsi="宋体" w:eastAsia="宋体" w:cs="宋体"/>
                <w:kern w:val="0"/>
                <w:sz w:val="18"/>
                <w:szCs w:val="18"/>
                <w:lang w:val="en-US" w:eastAsia="zh-CN"/>
              </w:rPr>
              <w:t>1.</w:t>
            </w:r>
            <w:r>
              <w:rPr>
                <w:rFonts w:hint="eastAsia" w:ascii="宋体" w:hAnsi="宋体" w:eastAsia="宋体" w:cs="宋体"/>
                <w:kern w:val="0"/>
                <w:sz w:val="18"/>
                <w:szCs w:val="18"/>
                <w:lang w:eastAsia="zh-CN"/>
              </w:rPr>
              <w:t>进一步做好停车治理工作，</w:t>
            </w:r>
            <w:r>
              <w:rPr>
                <w:rFonts w:hint="eastAsia" w:ascii="宋体" w:hAnsi="宋体" w:eastAsia="宋体" w:cs="宋体"/>
                <w:color w:val="000000"/>
                <w:kern w:val="0"/>
                <w:sz w:val="18"/>
                <w:szCs w:val="18"/>
              </w:rPr>
              <w:t>确保城市运行安全</w:t>
            </w:r>
            <w:r>
              <w:rPr>
                <w:rFonts w:hint="eastAsia" w:ascii="宋体" w:hAnsi="宋体" w:eastAsia="宋体" w:cs="宋体"/>
                <w:color w:val="000000"/>
                <w:kern w:val="0"/>
                <w:sz w:val="18"/>
                <w:szCs w:val="18"/>
                <w:lang w:eastAsia="zh-CN"/>
              </w:rPr>
              <w:t>，</w:t>
            </w:r>
            <w:r>
              <w:rPr>
                <w:rFonts w:hint="eastAsia" w:ascii="宋体" w:hAnsi="宋体" w:eastAsia="宋体" w:cs="宋体"/>
                <w:kern w:val="0"/>
                <w:sz w:val="18"/>
                <w:szCs w:val="18"/>
                <w:lang w:eastAsia="zh-CN"/>
              </w:rPr>
              <w:t>完成</w:t>
            </w:r>
            <w:r>
              <w:rPr>
                <w:rFonts w:hint="eastAsia" w:ascii="宋体" w:hAnsi="宋体" w:eastAsia="宋体" w:cs="宋体"/>
                <w:kern w:val="0"/>
                <w:sz w:val="18"/>
                <w:szCs w:val="18"/>
                <w:lang w:val="en-US" w:eastAsia="zh-CN"/>
              </w:rPr>
              <w:t>1项，15分；2.每出现1项因停车协管员出现的停车秩序问题的，扣0.5分，扣完为止。</w:t>
            </w:r>
          </w:p>
        </w:tc>
      </w:tr>
      <w:tr>
        <w:tblPrEx>
          <w:tblCellMar>
            <w:top w:w="0" w:type="dxa"/>
            <w:left w:w="108" w:type="dxa"/>
            <w:bottom w:w="0" w:type="dxa"/>
            <w:right w:w="108" w:type="dxa"/>
          </w:tblCellMar>
        </w:tblPrEx>
        <w:trPr>
          <w:trHeight w:val="1544" w:hRule="exact"/>
          <w:jc w:val="center"/>
        </w:trPr>
        <w:tc>
          <w:tcPr>
            <w:tcW w:w="57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highlight w:val="none"/>
              </w:rPr>
            </w:pPr>
          </w:p>
        </w:tc>
        <w:tc>
          <w:tcPr>
            <w:tcW w:w="99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highlight w:val="none"/>
                <w:lang w:eastAsia="zh-CN"/>
              </w:rPr>
            </w:pPr>
            <w:r>
              <w:rPr>
                <w:rFonts w:hint="eastAsia" w:ascii="宋体" w:hAnsi="宋体" w:eastAsia="宋体" w:cs="宋体"/>
                <w:kern w:val="0"/>
                <w:sz w:val="18"/>
                <w:szCs w:val="18"/>
                <w:highlight w:val="none"/>
                <w:lang w:eastAsia="zh-CN"/>
              </w:rPr>
              <w:t>环境效益指标</w:t>
            </w:r>
          </w:p>
          <w:p>
            <w:pPr>
              <w:widowControl/>
              <w:spacing w:line="240" w:lineRule="exact"/>
              <w:jc w:val="center"/>
              <w:rPr>
                <w:rFonts w:hint="eastAsia" w:ascii="宋体" w:hAnsi="宋体" w:eastAsia="宋体" w:cs="宋体"/>
                <w:kern w:val="0"/>
                <w:sz w:val="18"/>
                <w:szCs w:val="18"/>
                <w:highlight w:val="none"/>
                <w:lang w:eastAsia="zh-CN"/>
              </w:rPr>
            </w:pPr>
            <w:r>
              <w:rPr>
                <w:rFonts w:hint="eastAsia" w:ascii="宋体" w:hAnsi="宋体" w:eastAsia="宋体" w:cs="宋体"/>
                <w:kern w:val="0"/>
                <w:sz w:val="18"/>
                <w:szCs w:val="18"/>
                <w:highlight w:val="none"/>
                <w:lang w:eastAsia="zh-CN"/>
              </w:rPr>
              <w:t>（</w:t>
            </w:r>
            <w:r>
              <w:rPr>
                <w:rFonts w:hint="eastAsia" w:ascii="宋体" w:hAnsi="宋体" w:eastAsia="宋体" w:cs="宋体"/>
                <w:kern w:val="0"/>
                <w:sz w:val="18"/>
                <w:szCs w:val="18"/>
                <w:highlight w:val="none"/>
                <w:lang w:val="en-US" w:eastAsia="zh-CN"/>
              </w:rPr>
              <w:t>15分</w:t>
            </w:r>
            <w:r>
              <w:rPr>
                <w:rFonts w:hint="eastAsia" w:ascii="宋体" w:hAnsi="宋体" w:eastAsia="宋体" w:cs="宋体"/>
                <w:kern w:val="0"/>
                <w:sz w:val="18"/>
                <w:szCs w:val="18"/>
                <w:highlight w:val="none"/>
                <w:lang w:eastAsia="zh-CN"/>
              </w:rPr>
              <w:t>）</w:t>
            </w:r>
          </w:p>
        </w:tc>
        <w:tc>
          <w:tcPr>
            <w:tcW w:w="226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落实组建停车协管员队伍、加强停车管理力量</w:t>
            </w:r>
            <w:r>
              <w:rPr>
                <w:rFonts w:hint="eastAsia" w:ascii="宋体" w:hAnsi="宋体" w:eastAsia="宋体" w:cs="宋体"/>
                <w:color w:val="000000"/>
                <w:kern w:val="0"/>
                <w:sz w:val="18"/>
                <w:szCs w:val="18"/>
                <w:lang w:eastAsia="zh-CN"/>
              </w:rPr>
              <w:t>，</w:t>
            </w:r>
            <w:r>
              <w:rPr>
                <w:rFonts w:hint="eastAsia" w:ascii="宋体" w:hAnsi="宋体" w:eastAsia="宋体" w:cs="宋体"/>
                <w:color w:val="000000"/>
                <w:kern w:val="0"/>
                <w:sz w:val="18"/>
                <w:szCs w:val="18"/>
              </w:rPr>
              <w:t>优化西城区静态交通秩序和环境。</w:t>
            </w:r>
          </w:p>
        </w:tc>
        <w:tc>
          <w:tcPr>
            <w:tcW w:w="781"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1项</w:t>
            </w:r>
          </w:p>
        </w:tc>
        <w:tc>
          <w:tcPr>
            <w:tcW w:w="837"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1项</w:t>
            </w:r>
          </w:p>
        </w:tc>
        <w:tc>
          <w:tcPr>
            <w:tcW w:w="47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w:t>
            </w:r>
          </w:p>
        </w:tc>
        <w:tc>
          <w:tcPr>
            <w:tcW w:w="203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both"/>
              <w:rPr>
                <w:rFonts w:ascii="宋体" w:hAnsi="宋体" w:eastAsia="宋体" w:cs="宋体"/>
                <w:kern w:val="0"/>
                <w:sz w:val="18"/>
                <w:szCs w:val="18"/>
              </w:rPr>
            </w:pPr>
            <w:r>
              <w:rPr>
                <w:rFonts w:hint="eastAsia" w:ascii="宋体" w:hAnsi="宋体" w:eastAsia="宋体" w:cs="宋体"/>
                <w:color w:val="000000"/>
                <w:kern w:val="0"/>
                <w:sz w:val="18"/>
                <w:szCs w:val="18"/>
                <w:lang w:val="en-US" w:eastAsia="zh-CN"/>
              </w:rPr>
              <w:t>1.</w:t>
            </w:r>
            <w:r>
              <w:rPr>
                <w:rFonts w:hint="eastAsia" w:ascii="宋体" w:hAnsi="宋体" w:eastAsia="宋体" w:cs="宋体"/>
                <w:color w:val="000000"/>
                <w:kern w:val="0"/>
                <w:sz w:val="18"/>
                <w:szCs w:val="18"/>
              </w:rPr>
              <w:t>优化西城区静态交通秩序和环境</w:t>
            </w:r>
            <w:r>
              <w:rPr>
                <w:rFonts w:hint="eastAsia" w:ascii="宋体" w:hAnsi="宋体" w:eastAsia="宋体" w:cs="宋体"/>
                <w:color w:val="000000"/>
                <w:kern w:val="0"/>
                <w:sz w:val="18"/>
                <w:szCs w:val="18"/>
                <w:lang w:eastAsia="zh-CN"/>
              </w:rPr>
              <w:t>，</w:t>
            </w:r>
            <w:r>
              <w:rPr>
                <w:rFonts w:hint="eastAsia" w:ascii="宋体" w:hAnsi="宋体" w:eastAsia="宋体" w:cs="宋体"/>
                <w:kern w:val="0"/>
                <w:sz w:val="18"/>
                <w:szCs w:val="18"/>
                <w:lang w:eastAsia="zh-CN"/>
              </w:rPr>
              <w:t>完成</w:t>
            </w:r>
            <w:r>
              <w:rPr>
                <w:rFonts w:hint="eastAsia" w:ascii="宋体" w:hAnsi="宋体" w:eastAsia="宋体" w:cs="宋体"/>
                <w:kern w:val="0"/>
                <w:sz w:val="18"/>
                <w:szCs w:val="18"/>
                <w:lang w:val="en-US" w:eastAsia="zh-CN"/>
              </w:rPr>
              <w:t>1项，2.每出现1项因停车协管员出现的环境问题的，扣0.5分，扣完为止。</w:t>
            </w:r>
          </w:p>
        </w:tc>
      </w:tr>
      <w:tr>
        <w:tblPrEx>
          <w:tblCellMar>
            <w:top w:w="0" w:type="dxa"/>
            <w:left w:w="108" w:type="dxa"/>
            <w:bottom w:w="0" w:type="dxa"/>
            <w:right w:w="108" w:type="dxa"/>
          </w:tblCellMar>
        </w:tblPrEx>
        <w:trPr>
          <w:trHeight w:val="1964" w:hRule="exact"/>
          <w:jc w:val="center"/>
        </w:trPr>
        <w:tc>
          <w:tcPr>
            <w:tcW w:w="57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满意度</w:t>
            </w:r>
          </w:p>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指标</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eastAsia="zh-CN"/>
              </w:rPr>
              <w:t>（</w:t>
            </w:r>
            <w:r>
              <w:rPr>
                <w:rFonts w:hint="eastAsia" w:ascii="宋体" w:hAnsi="宋体" w:eastAsia="宋体" w:cs="宋体"/>
                <w:kern w:val="0"/>
                <w:sz w:val="18"/>
                <w:szCs w:val="18"/>
                <w:lang w:val="en-US" w:eastAsia="zh-CN"/>
              </w:rPr>
              <w:t>10分</w:t>
            </w:r>
            <w:r>
              <w:rPr>
                <w:rFonts w:hint="eastAsia" w:ascii="宋体" w:hAnsi="宋体" w:eastAsia="宋体" w:cs="宋体"/>
                <w:kern w:val="0"/>
                <w:sz w:val="18"/>
                <w:szCs w:val="18"/>
                <w:lang w:eastAsia="zh-CN"/>
              </w:rPr>
              <w:t>）</w:t>
            </w:r>
          </w:p>
        </w:tc>
        <w:tc>
          <w:tcPr>
            <w:tcW w:w="99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highlight w:val="none"/>
                <w:lang w:eastAsia="zh-CN"/>
              </w:rPr>
            </w:pPr>
            <w:r>
              <w:rPr>
                <w:rFonts w:hint="eastAsia" w:ascii="宋体" w:hAnsi="宋体" w:eastAsia="宋体" w:cs="宋体"/>
                <w:kern w:val="0"/>
                <w:sz w:val="18"/>
                <w:szCs w:val="18"/>
                <w:highlight w:val="none"/>
                <w:lang w:eastAsia="zh-CN"/>
              </w:rPr>
              <w:t>服务对象满意度指标</w:t>
            </w:r>
          </w:p>
          <w:p>
            <w:pPr>
              <w:widowControl/>
              <w:spacing w:line="240" w:lineRule="exact"/>
              <w:jc w:val="center"/>
            </w:pPr>
            <w:r>
              <w:rPr>
                <w:rFonts w:hint="eastAsia" w:ascii="宋体" w:hAnsi="宋体" w:eastAsia="宋体" w:cs="宋体"/>
                <w:kern w:val="0"/>
                <w:sz w:val="18"/>
                <w:szCs w:val="18"/>
                <w:highlight w:val="none"/>
                <w:lang w:val="en-US" w:eastAsia="zh-CN"/>
              </w:rPr>
              <w:t>（10分）</w:t>
            </w:r>
          </w:p>
        </w:tc>
        <w:tc>
          <w:tcPr>
            <w:tcW w:w="226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rPr>
              <w:t>人民群众</w:t>
            </w:r>
            <w:r>
              <w:rPr>
                <w:rFonts w:hint="eastAsia" w:ascii="宋体" w:hAnsi="宋体" w:eastAsia="宋体" w:cs="宋体"/>
                <w:color w:val="000000"/>
                <w:kern w:val="0"/>
                <w:sz w:val="18"/>
                <w:szCs w:val="18"/>
                <w:lang w:eastAsia="zh-CN"/>
              </w:rPr>
              <w:t>及停车人满意度</w:t>
            </w:r>
          </w:p>
        </w:tc>
        <w:tc>
          <w:tcPr>
            <w:tcW w:w="781"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rPr>
            </w:pPr>
            <w:r>
              <w:rPr>
                <w:rFonts w:hint="eastAsia" w:ascii="宋体" w:hAnsi="宋体" w:eastAsia="宋体" w:cs="宋体"/>
                <w:kern w:val="0"/>
                <w:sz w:val="18"/>
                <w:szCs w:val="18"/>
              </w:rPr>
              <w:t>≥</w:t>
            </w:r>
            <w:r>
              <w:rPr>
                <w:rFonts w:hint="eastAsia" w:ascii="宋体" w:hAnsi="宋体" w:eastAsia="宋体" w:cs="宋体"/>
                <w:kern w:val="0"/>
                <w:sz w:val="18"/>
                <w:szCs w:val="18"/>
                <w:lang w:val="en-US" w:eastAsia="zh-CN"/>
              </w:rPr>
              <w:t>80%</w:t>
            </w:r>
          </w:p>
        </w:tc>
        <w:tc>
          <w:tcPr>
            <w:tcW w:w="837"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90%</w:t>
            </w:r>
          </w:p>
        </w:tc>
        <w:tc>
          <w:tcPr>
            <w:tcW w:w="47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203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w:t>
            </w:r>
            <w:r>
              <w:rPr>
                <w:rFonts w:hint="eastAsia" w:ascii="宋体" w:hAnsi="宋体" w:eastAsia="宋体" w:cs="宋体"/>
                <w:color w:val="000000"/>
                <w:kern w:val="0"/>
                <w:sz w:val="18"/>
                <w:szCs w:val="18"/>
              </w:rPr>
              <w:t>人民群众</w:t>
            </w:r>
            <w:r>
              <w:rPr>
                <w:rFonts w:hint="eastAsia" w:ascii="宋体" w:hAnsi="宋体" w:eastAsia="宋体" w:cs="宋体"/>
                <w:color w:val="000000"/>
                <w:kern w:val="0"/>
                <w:sz w:val="18"/>
                <w:szCs w:val="18"/>
                <w:lang w:eastAsia="zh-CN"/>
              </w:rPr>
              <w:t>及停车人满意度</w:t>
            </w:r>
            <w:r>
              <w:rPr>
                <w:rFonts w:hint="eastAsia" w:ascii="宋体" w:hAnsi="宋体" w:eastAsia="宋体" w:cs="宋体"/>
                <w:kern w:val="0"/>
                <w:sz w:val="18"/>
                <w:szCs w:val="18"/>
              </w:rPr>
              <w:t>≥</w:t>
            </w:r>
            <w:r>
              <w:rPr>
                <w:rFonts w:hint="eastAsia" w:ascii="宋体" w:hAnsi="宋体" w:eastAsia="宋体" w:cs="宋体"/>
                <w:kern w:val="0"/>
                <w:sz w:val="18"/>
                <w:szCs w:val="18"/>
                <w:lang w:val="en-US" w:eastAsia="zh-CN"/>
              </w:rPr>
              <w:t>80%，10分；</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2.每出现一起停车协管员社会舆情的，扣5分，扣完为止。</w:t>
            </w:r>
          </w:p>
        </w:tc>
      </w:tr>
    </w:tbl>
    <w:p>
      <w:pPr>
        <w:pStyle w:val="3"/>
        <w:rPr>
          <w:rFonts w:hint="eastAsia"/>
          <w:lang w:val="en-US" w:eastAsia="zh-CN"/>
        </w:rPr>
      </w:pPr>
    </w:p>
    <w:p>
      <w:pPr>
        <w:pStyle w:val="3"/>
        <w:rPr>
          <w:rFonts w:hint="eastAsia"/>
          <w:lang w:val="en-US" w:eastAsia="zh-CN"/>
        </w:rPr>
      </w:pPr>
    </w:p>
    <w:p>
      <w:pPr>
        <w:pStyle w:val="3"/>
        <w:keepNext w:val="0"/>
        <w:keepLines w:val="0"/>
        <w:pageBreakBefore w:val="0"/>
        <w:kinsoku/>
        <w:overflowPunct/>
        <w:topLinePunct w:val="0"/>
        <w:autoSpaceDE/>
        <w:autoSpaceDN/>
        <w:bidi w:val="0"/>
        <w:adjustRightInd/>
        <w:snapToGrid/>
        <w:spacing w:line="560" w:lineRule="exact"/>
        <w:ind w:firstLine="420" w:firstLineChars="200"/>
        <w:textAlignment w:val="auto"/>
        <w:rPr>
          <w:rFonts w:hint="eastAsia"/>
          <w:lang w:val="en-US" w:eastAsia="zh-CN"/>
        </w:rPr>
      </w:pPr>
      <w:r>
        <w:rPr>
          <w:rFonts w:hint="eastAsia"/>
          <w:lang w:val="en-US" w:eastAsia="zh-CN"/>
        </w:rPr>
        <w:t>3.评价方法：采用定量和定性评价相结合的比较法。</w:t>
      </w:r>
    </w:p>
    <w:p>
      <w:pPr>
        <w:pStyle w:val="3"/>
        <w:keepNext w:val="0"/>
        <w:keepLines w:val="0"/>
        <w:pageBreakBefore w:val="0"/>
        <w:kinsoku/>
        <w:overflowPunct/>
        <w:topLinePunct w:val="0"/>
        <w:autoSpaceDE/>
        <w:autoSpaceDN/>
        <w:bidi w:val="0"/>
        <w:adjustRightInd/>
        <w:snapToGrid/>
        <w:spacing w:line="560" w:lineRule="exact"/>
        <w:ind w:firstLine="420" w:firstLineChars="200"/>
        <w:textAlignment w:val="auto"/>
        <w:rPr>
          <w:rFonts w:hint="eastAsia"/>
          <w:lang w:val="en-US" w:eastAsia="zh-CN"/>
        </w:rPr>
      </w:pPr>
      <w:r>
        <w:rPr>
          <w:rFonts w:hint="eastAsia"/>
          <w:lang w:val="en-US" w:eastAsia="zh-CN"/>
        </w:rPr>
        <w:t>4.评价标准：综合采用计划标准、行业标准、历史标准、财政部门和预算部门确定或认可的其他标准。</w:t>
      </w:r>
    </w:p>
    <w:p>
      <w:pPr>
        <w:keepNext w:val="0"/>
        <w:keepLines w:val="0"/>
        <w:pageBreakBefore w:val="0"/>
        <w:numPr>
          <w:ilvl w:val="0"/>
          <w:numId w:val="1"/>
        </w:numPr>
        <w:kinsoku/>
        <w:overflowPunct/>
        <w:topLinePunct w:val="0"/>
        <w:autoSpaceDE/>
        <w:autoSpaceDN/>
        <w:bidi w:val="0"/>
        <w:adjustRightInd/>
        <w:snapToGrid/>
        <w:spacing w:line="560" w:lineRule="exact"/>
        <w:ind w:left="0" w:leftChars="0" w:firstLine="440" w:firstLineChars="200"/>
        <w:textAlignment w:val="auto"/>
        <w:rPr>
          <w:rFonts w:hint="eastAsia" w:ascii="宋体" w:hAnsi="宋体" w:eastAsia="宋体" w:cs="宋体"/>
          <w:color w:val="000000"/>
          <w:kern w:val="0"/>
          <w:sz w:val="22"/>
          <w:szCs w:val="24"/>
        </w:rPr>
      </w:pPr>
      <w:r>
        <w:rPr>
          <w:rFonts w:hint="eastAsia" w:ascii="宋体" w:hAnsi="宋体" w:eastAsia="宋体" w:cs="宋体"/>
          <w:color w:val="000000"/>
          <w:kern w:val="0"/>
          <w:sz w:val="22"/>
          <w:szCs w:val="24"/>
        </w:rPr>
        <w:t>绩效评价工作过程。</w:t>
      </w:r>
    </w:p>
    <w:p>
      <w:pPr>
        <w:pStyle w:val="2"/>
        <w:keepNext w:val="0"/>
        <w:keepLines w:val="0"/>
        <w:pageBreakBefore w:val="0"/>
        <w:numPr>
          <w:ilvl w:val="0"/>
          <w:numId w:val="0"/>
        </w:numPr>
        <w:kinsoku/>
        <w:overflowPunct/>
        <w:topLinePunct w:val="0"/>
        <w:autoSpaceDE/>
        <w:autoSpaceDN/>
        <w:bidi w:val="0"/>
        <w:adjustRightInd/>
        <w:snapToGrid/>
        <w:spacing w:line="560" w:lineRule="exact"/>
        <w:jc w:val="both"/>
        <w:textAlignment w:val="auto"/>
        <w:rPr>
          <w:rFonts w:hint="eastAsia" w:ascii="Times New Roman" w:hAnsi="Times New Roman" w:eastAsia="宋体" w:cs="Times New Roman"/>
          <w:b w:val="0"/>
          <w:bCs w:val="0"/>
          <w:sz w:val="21"/>
          <w:szCs w:val="22"/>
          <w:lang w:val="en-US" w:eastAsia="zh-CN" w:bidi="ar-SA"/>
        </w:rPr>
      </w:pPr>
      <w:r>
        <w:rPr>
          <w:rFonts w:hint="eastAsia" w:ascii="Times New Roman" w:hAnsi="Times New Roman" w:eastAsia="宋体" w:cs="Times New Roman"/>
          <w:b w:val="0"/>
          <w:bCs w:val="0"/>
          <w:sz w:val="21"/>
          <w:szCs w:val="22"/>
          <w:lang w:val="en-US" w:eastAsia="zh-CN" w:bidi="ar-SA"/>
        </w:rPr>
        <w:t>本次单位自评工作主要包括前期准备、组织实施、提交报告、成果应用四个阶段，具体如下：</w:t>
      </w:r>
    </w:p>
    <w:p>
      <w:pPr>
        <w:pStyle w:val="2"/>
        <w:keepNext w:val="0"/>
        <w:keepLines w:val="0"/>
        <w:pageBreakBefore w:val="0"/>
        <w:numPr>
          <w:ilvl w:val="0"/>
          <w:numId w:val="0"/>
        </w:numPr>
        <w:kinsoku/>
        <w:overflowPunct/>
        <w:topLinePunct w:val="0"/>
        <w:autoSpaceDE/>
        <w:autoSpaceDN/>
        <w:bidi w:val="0"/>
        <w:adjustRightInd/>
        <w:snapToGrid/>
        <w:spacing w:line="560" w:lineRule="exact"/>
        <w:ind w:leftChars="200"/>
        <w:jc w:val="both"/>
        <w:textAlignment w:val="auto"/>
        <w:rPr>
          <w:rFonts w:hint="eastAsia" w:ascii="Times New Roman" w:hAnsi="Times New Roman" w:eastAsia="宋体" w:cs="Times New Roman"/>
          <w:b w:val="0"/>
          <w:bCs w:val="0"/>
          <w:sz w:val="21"/>
          <w:szCs w:val="22"/>
          <w:lang w:val="en-US" w:eastAsia="zh-CN" w:bidi="ar-SA"/>
        </w:rPr>
      </w:pPr>
      <w:r>
        <w:rPr>
          <w:rFonts w:hint="eastAsia" w:ascii="Times New Roman" w:hAnsi="Times New Roman" w:eastAsia="宋体" w:cs="Times New Roman"/>
          <w:b w:val="0"/>
          <w:bCs w:val="0"/>
          <w:sz w:val="21"/>
          <w:szCs w:val="22"/>
          <w:lang w:val="en-US" w:eastAsia="zh-CN" w:bidi="ar-SA"/>
        </w:rPr>
        <w:t>1.前期准备阶段</w:t>
      </w:r>
    </w:p>
    <w:p>
      <w:pPr>
        <w:pStyle w:val="2"/>
        <w:keepNext w:val="0"/>
        <w:keepLines w:val="0"/>
        <w:pageBreakBefore w:val="0"/>
        <w:numPr>
          <w:ilvl w:val="0"/>
          <w:numId w:val="0"/>
        </w:numPr>
        <w:kinsoku/>
        <w:overflowPunct/>
        <w:topLinePunct w:val="0"/>
        <w:autoSpaceDE/>
        <w:autoSpaceDN/>
        <w:bidi w:val="0"/>
        <w:adjustRightInd/>
        <w:snapToGrid/>
        <w:spacing w:line="560" w:lineRule="exact"/>
        <w:ind w:leftChars="200"/>
        <w:jc w:val="both"/>
        <w:textAlignment w:val="auto"/>
        <w:rPr>
          <w:rFonts w:hint="eastAsia" w:ascii="Times New Roman" w:hAnsi="Times New Roman" w:eastAsia="宋体" w:cs="Times New Roman"/>
          <w:b w:val="0"/>
          <w:bCs w:val="0"/>
          <w:sz w:val="21"/>
          <w:szCs w:val="22"/>
          <w:lang w:val="en-US" w:eastAsia="zh-CN" w:bidi="ar-SA"/>
        </w:rPr>
      </w:pPr>
      <w:r>
        <w:rPr>
          <w:rFonts w:hint="eastAsia" w:ascii="Times New Roman" w:hAnsi="Times New Roman" w:eastAsia="宋体" w:cs="Times New Roman"/>
          <w:b w:val="0"/>
          <w:bCs w:val="0"/>
          <w:sz w:val="21"/>
          <w:szCs w:val="22"/>
          <w:lang w:val="en-US" w:eastAsia="zh-CN" w:bidi="ar-SA"/>
        </w:rPr>
        <w:t>（1）成立自评工作组</w:t>
      </w:r>
    </w:p>
    <w:p>
      <w:pPr>
        <w:keepNext w:val="0"/>
        <w:keepLines w:val="0"/>
        <w:pageBreakBefore w:val="0"/>
        <w:kinsoku/>
        <w:overflowPunct/>
        <w:topLinePunct w:val="0"/>
        <w:autoSpaceDE/>
        <w:autoSpaceDN/>
        <w:bidi w:val="0"/>
        <w:adjustRightInd/>
        <w:snapToGrid/>
        <w:spacing w:line="560" w:lineRule="exact"/>
        <w:ind w:firstLine="440" w:firstLineChars="200"/>
        <w:textAlignment w:val="auto"/>
        <w:outlineLvl w:val="9"/>
        <w:rPr>
          <w:rFonts w:hint="eastAsia" w:ascii="宋体" w:hAnsi="宋体" w:eastAsia="宋体" w:cs="宋体"/>
          <w:color w:val="000000"/>
          <w:kern w:val="0"/>
          <w:sz w:val="22"/>
          <w:szCs w:val="24"/>
          <w:highlight w:val="none"/>
        </w:rPr>
      </w:pPr>
      <w:r>
        <w:rPr>
          <w:rFonts w:hint="eastAsia" w:ascii="宋体" w:hAnsi="宋体" w:eastAsia="宋体" w:cs="宋体"/>
          <w:color w:val="000000"/>
          <w:kern w:val="0"/>
          <w:sz w:val="22"/>
          <w:szCs w:val="24"/>
        </w:rPr>
        <w:t>我单位成立了</w:t>
      </w:r>
      <w:r>
        <w:rPr>
          <w:rFonts w:hint="eastAsia" w:ascii="宋体" w:hAnsi="宋体" w:eastAsia="宋体" w:cs="宋体"/>
          <w:color w:val="000000"/>
          <w:kern w:val="0"/>
          <w:sz w:val="22"/>
          <w:szCs w:val="24"/>
          <w:highlight w:val="none"/>
        </w:rPr>
        <w:t>自评工作领导小组，由</w:t>
      </w:r>
      <w:r>
        <w:rPr>
          <w:rFonts w:hint="eastAsia" w:ascii="宋体" w:hAnsi="宋体" w:eastAsia="宋体" w:cs="宋体"/>
          <w:color w:val="000000"/>
          <w:kern w:val="0"/>
          <w:sz w:val="22"/>
          <w:szCs w:val="24"/>
          <w:highlight w:val="none"/>
          <w:lang w:eastAsia="zh-CN"/>
        </w:rPr>
        <w:t>科室</w:t>
      </w:r>
      <w:r>
        <w:rPr>
          <w:rFonts w:hint="eastAsia" w:ascii="宋体" w:hAnsi="宋体" w:eastAsia="宋体" w:cs="宋体"/>
          <w:color w:val="000000"/>
          <w:kern w:val="0"/>
          <w:sz w:val="22"/>
          <w:szCs w:val="24"/>
          <w:highlight w:val="none"/>
        </w:rPr>
        <w:t>领导担任组长，</w:t>
      </w:r>
      <w:r>
        <w:rPr>
          <w:rFonts w:hint="eastAsia" w:ascii="宋体" w:hAnsi="宋体" w:eastAsia="宋体" w:cs="宋体"/>
          <w:color w:val="000000"/>
          <w:kern w:val="0"/>
          <w:sz w:val="22"/>
          <w:szCs w:val="24"/>
          <w:highlight w:val="none"/>
          <w:lang w:eastAsia="zh-CN"/>
        </w:rPr>
        <w:t>与项目负责人及</w:t>
      </w:r>
      <w:r>
        <w:rPr>
          <w:rFonts w:hint="eastAsia" w:ascii="宋体" w:hAnsi="宋体" w:eastAsia="宋体" w:cs="宋体"/>
          <w:color w:val="000000"/>
          <w:kern w:val="0"/>
          <w:sz w:val="22"/>
          <w:szCs w:val="24"/>
          <w:highlight w:val="none"/>
        </w:rPr>
        <w:t>科室</w:t>
      </w:r>
      <w:r>
        <w:rPr>
          <w:rFonts w:hint="eastAsia" w:ascii="宋体" w:hAnsi="宋体" w:eastAsia="宋体" w:cs="宋体"/>
          <w:color w:val="000000"/>
          <w:kern w:val="0"/>
          <w:sz w:val="22"/>
          <w:szCs w:val="24"/>
          <w:highlight w:val="none"/>
          <w:lang w:eastAsia="zh-CN"/>
        </w:rPr>
        <w:t>相关人</w:t>
      </w:r>
      <w:r>
        <w:rPr>
          <w:rFonts w:hint="eastAsia" w:ascii="宋体" w:hAnsi="宋体" w:eastAsia="宋体" w:cs="宋体"/>
          <w:color w:val="000000"/>
          <w:kern w:val="0"/>
          <w:sz w:val="22"/>
          <w:szCs w:val="24"/>
          <w:highlight w:val="none"/>
        </w:rPr>
        <w:t>员，负责协调、处理、决定本单位自评工作中的重大事项，研究解决工作中遇到的重大问题。自评工作由</w:t>
      </w:r>
      <w:r>
        <w:rPr>
          <w:rFonts w:hint="eastAsia" w:ascii="宋体" w:hAnsi="宋体" w:eastAsia="宋体" w:cs="宋体"/>
          <w:color w:val="000000"/>
          <w:kern w:val="0"/>
          <w:sz w:val="22"/>
          <w:szCs w:val="24"/>
          <w:highlight w:val="none"/>
          <w:lang w:eastAsia="zh-CN"/>
        </w:rPr>
        <w:t>项目科室及</w:t>
      </w:r>
      <w:r>
        <w:rPr>
          <w:rFonts w:hint="eastAsia" w:ascii="宋体" w:hAnsi="宋体" w:eastAsia="宋体" w:cs="宋体"/>
          <w:color w:val="000000"/>
          <w:kern w:val="0"/>
          <w:sz w:val="22"/>
          <w:szCs w:val="24"/>
          <w:highlight w:val="none"/>
        </w:rPr>
        <w:t>科室</w:t>
      </w:r>
      <w:r>
        <w:rPr>
          <w:rFonts w:hint="eastAsia" w:ascii="宋体" w:hAnsi="宋体" w:eastAsia="宋体" w:cs="宋体"/>
          <w:color w:val="000000"/>
          <w:kern w:val="0"/>
          <w:sz w:val="22"/>
          <w:szCs w:val="24"/>
          <w:highlight w:val="none"/>
          <w:lang w:eastAsia="zh-CN"/>
        </w:rPr>
        <w:t>相关</w:t>
      </w:r>
      <w:r>
        <w:rPr>
          <w:rFonts w:hint="eastAsia" w:ascii="宋体" w:hAnsi="宋体" w:eastAsia="宋体" w:cs="宋体"/>
          <w:color w:val="000000"/>
          <w:kern w:val="0"/>
          <w:sz w:val="22"/>
          <w:szCs w:val="24"/>
          <w:highlight w:val="none"/>
        </w:rPr>
        <w:t>人员成立自评工作小组负责具体工作，并确定了各自的职责分工，包括制定工作方案、组织培训、绩效目标实现程度监督、自评结果的复核、问题汇总整改等具体工作，协调工作中出现的问题，与区财政及相关绩效管理部门进行对接等；其余涉及自评项目的科室协同配合，按资料清单按时提供相关材料。</w:t>
      </w:r>
    </w:p>
    <w:p>
      <w:pPr>
        <w:keepNext w:val="0"/>
        <w:keepLines w:val="0"/>
        <w:pageBreakBefore w:val="0"/>
        <w:kinsoku/>
        <w:overflowPunct/>
        <w:topLinePunct w:val="0"/>
        <w:autoSpaceDE/>
        <w:autoSpaceDN/>
        <w:bidi w:val="0"/>
        <w:adjustRightInd/>
        <w:snapToGrid/>
        <w:spacing w:line="560" w:lineRule="exact"/>
        <w:ind w:firstLine="440" w:firstLineChars="200"/>
        <w:textAlignment w:val="auto"/>
        <w:outlineLvl w:val="9"/>
        <w:rPr>
          <w:rFonts w:hint="eastAsia" w:ascii="宋体" w:hAnsi="宋体" w:eastAsia="宋体" w:cs="宋体"/>
          <w:color w:val="000000"/>
          <w:kern w:val="0"/>
          <w:sz w:val="22"/>
          <w:szCs w:val="24"/>
        </w:rPr>
      </w:pPr>
      <w:r>
        <w:rPr>
          <w:rFonts w:hint="eastAsia" w:ascii="宋体" w:hAnsi="宋体" w:eastAsia="宋体" w:cs="宋体"/>
          <w:color w:val="000000"/>
          <w:kern w:val="0"/>
          <w:sz w:val="22"/>
          <w:szCs w:val="24"/>
        </w:rPr>
        <w:t>（2）制定本年度自评工作方案</w:t>
      </w:r>
    </w:p>
    <w:p>
      <w:pPr>
        <w:keepNext w:val="0"/>
        <w:keepLines w:val="0"/>
        <w:pageBreakBefore w:val="0"/>
        <w:kinsoku/>
        <w:overflowPunct/>
        <w:topLinePunct w:val="0"/>
        <w:autoSpaceDE/>
        <w:autoSpaceDN/>
        <w:bidi w:val="0"/>
        <w:adjustRightInd/>
        <w:snapToGrid/>
        <w:spacing w:line="560" w:lineRule="exact"/>
        <w:ind w:firstLine="440" w:firstLineChars="200"/>
        <w:textAlignment w:val="auto"/>
        <w:outlineLvl w:val="9"/>
        <w:rPr>
          <w:rFonts w:hint="eastAsia" w:ascii="宋体" w:hAnsi="宋体" w:eastAsia="宋体" w:cs="宋体"/>
          <w:color w:val="000000"/>
          <w:kern w:val="0"/>
          <w:sz w:val="22"/>
          <w:szCs w:val="24"/>
        </w:rPr>
      </w:pPr>
      <w:r>
        <w:rPr>
          <w:rFonts w:hint="eastAsia" w:ascii="宋体" w:hAnsi="宋体" w:eastAsia="宋体" w:cs="宋体"/>
          <w:color w:val="000000"/>
          <w:kern w:val="0"/>
          <w:sz w:val="22"/>
          <w:szCs w:val="24"/>
        </w:rPr>
        <w:t>工作小组制定了工作方案，明确了工作目标、工作内容、工作范围、职责分工、工作流程、工作进度、评价方法、评价体系以及成果应用等具体内容。并经领导小组审议通过后开始实施。</w:t>
      </w:r>
    </w:p>
    <w:p>
      <w:pPr>
        <w:keepNext w:val="0"/>
        <w:keepLines w:val="0"/>
        <w:pageBreakBefore w:val="0"/>
        <w:kinsoku/>
        <w:overflowPunct/>
        <w:topLinePunct w:val="0"/>
        <w:autoSpaceDE/>
        <w:autoSpaceDN/>
        <w:bidi w:val="0"/>
        <w:adjustRightInd/>
        <w:snapToGrid/>
        <w:spacing w:line="560" w:lineRule="exact"/>
        <w:ind w:firstLine="440" w:firstLineChars="200"/>
        <w:textAlignment w:val="auto"/>
        <w:outlineLvl w:val="9"/>
        <w:rPr>
          <w:rFonts w:hint="eastAsia" w:ascii="宋体" w:hAnsi="宋体" w:eastAsia="宋体" w:cs="宋体"/>
          <w:color w:val="000000"/>
          <w:kern w:val="0"/>
          <w:sz w:val="22"/>
          <w:szCs w:val="24"/>
        </w:rPr>
      </w:pPr>
      <w:r>
        <w:rPr>
          <w:rFonts w:hint="eastAsia" w:ascii="宋体" w:hAnsi="宋体" w:eastAsia="宋体" w:cs="宋体"/>
          <w:color w:val="000000"/>
          <w:kern w:val="0"/>
          <w:sz w:val="22"/>
          <w:szCs w:val="24"/>
        </w:rPr>
        <w:t>（3）确定评价指标体系</w:t>
      </w:r>
    </w:p>
    <w:p>
      <w:pPr>
        <w:keepNext w:val="0"/>
        <w:keepLines w:val="0"/>
        <w:pageBreakBefore w:val="0"/>
        <w:kinsoku/>
        <w:overflowPunct/>
        <w:topLinePunct w:val="0"/>
        <w:autoSpaceDE/>
        <w:autoSpaceDN/>
        <w:bidi w:val="0"/>
        <w:adjustRightInd/>
        <w:snapToGrid/>
        <w:spacing w:line="560" w:lineRule="exact"/>
        <w:ind w:firstLine="440" w:firstLineChars="200"/>
        <w:textAlignment w:val="auto"/>
        <w:outlineLvl w:val="9"/>
        <w:rPr>
          <w:rFonts w:hint="eastAsia" w:ascii="宋体" w:hAnsi="宋体" w:eastAsia="宋体" w:cs="宋体"/>
          <w:color w:val="000000"/>
          <w:kern w:val="0"/>
          <w:sz w:val="22"/>
          <w:szCs w:val="24"/>
        </w:rPr>
      </w:pPr>
      <w:r>
        <w:rPr>
          <w:rFonts w:hint="eastAsia" w:ascii="宋体" w:hAnsi="宋体" w:eastAsia="宋体" w:cs="宋体"/>
          <w:color w:val="000000"/>
          <w:kern w:val="0"/>
          <w:sz w:val="22"/>
          <w:szCs w:val="24"/>
        </w:rPr>
        <w:t>自评指标：本次选用的自评指标以预算批复的项目支出绩效目标申报表中的绩效指标为准开展自评。具体包括：</w:t>
      </w:r>
    </w:p>
    <w:p>
      <w:pPr>
        <w:keepNext w:val="0"/>
        <w:keepLines w:val="0"/>
        <w:pageBreakBefore w:val="0"/>
        <w:kinsoku/>
        <w:overflowPunct/>
        <w:topLinePunct w:val="0"/>
        <w:autoSpaceDE/>
        <w:autoSpaceDN/>
        <w:bidi w:val="0"/>
        <w:adjustRightInd/>
        <w:snapToGrid/>
        <w:spacing w:line="560" w:lineRule="exact"/>
        <w:ind w:firstLine="440" w:firstLineChars="200"/>
        <w:textAlignment w:val="auto"/>
        <w:outlineLvl w:val="9"/>
        <w:rPr>
          <w:rFonts w:hint="eastAsia" w:ascii="宋体" w:hAnsi="宋体" w:eastAsia="宋体" w:cs="宋体"/>
          <w:color w:val="000000"/>
          <w:kern w:val="0"/>
          <w:sz w:val="22"/>
          <w:szCs w:val="24"/>
        </w:rPr>
      </w:pPr>
      <w:r>
        <w:rPr>
          <w:rFonts w:hint="eastAsia" w:ascii="宋体" w:hAnsi="宋体" w:eastAsia="宋体" w:cs="宋体"/>
          <w:color w:val="000000"/>
          <w:kern w:val="0"/>
          <w:sz w:val="22"/>
          <w:szCs w:val="24"/>
        </w:rPr>
        <w:t>一级指标4个：项目资金、产出指标、效益指标、满意度指标。</w:t>
      </w:r>
    </w:p>
    <w:p>
      <w:pPr>
        <w:keepNext w:val="0"/>
        <w:keepLines w:val="0"/>
        <w:pageBreakBefore w:val="0"/>
        <w:kinsoku/>
        <w:overflowPunct/>
        <w:topLinePunct w:val="0"/>
        <w:autoSpaceDE/>
        <w:autoSpaceDN/>
        <w:bidi w:val="0"/>
        <w:adjustRightInd/>
        <w:snapToGrid/>
        <w:spacing w:line="560" w:lineRule="exact"/>
        <w:ind w:firstLine="440" w:firstLineChars="200"/>
        <w:textAlignment w:val="auto"/>
        <w:outlineLvl w:val="9"/>
        <w:rPr>
          <w:rFonts w:hint="eastAsia" w:ascii="宋体" w:hAnsi="宋体" w:eastAsia="宋体" w:cs="宋体"/>
          <w:color w:val="000000"/>
          <w:kern w:val="0"/>
          <w:sz w:val="22"/>
          <w:szCs w:val="24"/>
        </w:rPr>
      </w:pPr>
      <w:r>
        <w:rPr>
          <w:rFonts w:hint="eastAsia" w:ascii="宋体" w:hAnsi="宋体" w:eastAsia="宋体" w:cs="宋体"/>
          <w:color w:val="000000"/>
          <w:kern w:val="0"/>
          <w:sz w:val="22"/>
          <w:szCs w:val="24"/>
        </w:rPr>
        <w:t>二级指标</w:t>
      </w:r>
      <w:r>
        <w:rPr>
          <w:rFonts w:hint="eastAsia" w:ascii="宋体" w:hAnsi="宋体" w:eastAsia="宋体" w:cs="宋体"/>
          <w:color w:val="000000"/>
          <w:kern w:val="0"/>
          <w:sz w:val="22"/>
          <w:szCs w:val="24"/>
          <w:lang w:val="en-US" w:eastAsia="zh-CN"/>
        </w:rPr>
        <w:t>8</w:t>
      </w:r>
      <w:r>
        <w:rPr>
          <w:rFonts w:hint="eastAsia" w:ascii="宋体" w:hAnsi="宋体" w:eastAsia="宋体" w:cs="宋体"/>
          <w:color w:val="000000"/>
          <w:kern w:val="0"/>
          <w:sz w:val="22"/>
          <w:szCs w:val="24"/>
        </w:rPr>
        <w:t>个：包括：预算执行率、数量指标、质量指标、时效指标、成本指标、社会效益指标、生态效益指标、服务对象满意度指标。</w:t>
      </w:r>
    </w:p>
    <w:p>
      <w:pPr>
        <w:keepNext w:val="0"/>
        <w:keepLines w:val="0"/>
        <w:pageBreakBefore w:val="0"/>
        <w:kinsoku/>
        <w:overflowPunct/>
        <w:topLinePunct w:val="0"/>
        <w:autoSpaceDE/>
        <w:autoSpaceDN/>
        <w:bidi w:val="0"/>
        <w:adjustRightInd/>
        <w:snapToGrid/>
        <w:spacing w:line="560" w:lineRule="exact"/>
        <w:ind w:firstLine="440" w:firstLineChars="200"/>
        <w:textAlignment w:val="auto"/>
        <w:outlineLvl w:val="9"/>
        <w:rPr>
          <w:rFonts w:hint="eastAsia" w:ascii="宋体" w:hAnsi="宋体" w:eastAsia="宋体" w:cs="宋体"/>
          <w:color w:val="000000"/>
          <w:kern w:val="0"/>
          <w:sz w:val="22"/>
          <w:szCs w:val="24"/>
        </w:rPr>
      </w:pPr>
      <w:r>
        <w:rPr>
          <w:rFonts w:hint="eastAsia" w:ascii="宋体" w:hAnsi="宋体" w:eastAsia="宋体" w:cs="宋体"/>
          <w:color w:val="000000"/>
          <w:kern w:val="0"/>
          <w:sz w:val="22"/>
          <w:szCs w:val="24"/>
        </w:rPr>
        <w:t>三级指标及指标值：按年初经财政批复的绩效目标申报表中的三级指标确定。</w:t>
      </w:r>
    </w:p>
    <w:p>
      <w:pPr>
        <w:keepNext w:val="0"/>
        <w:keepLines w:val="0"/>
        <w:pageBreakBefore w:val="0"/>
        <w:kinsoku/>
        <w:overflowPunct/>
        <w:topLinePunct w:val="0"/>
        <w:autoSpaceDE/>
        <w:autoSpaceDN/>
        <w:bidi w:val="0"/>
        <w:adjustRightInd/>
        <w:snapToGrid/>
        <w:spacing w:line="560" w:lineRule="exact"/>
        <w:ind w:firstLine="440" w:firstLineChars="200"/>
        <w:textAlignment w:val="auto"/>
        <w:outlineLvl w:val="9"/>
        <w:rPr>
          <w:rFonts w:hint="eastAsia" w:ascii="宋体" w:hAnsi="宋体" w:eastAsia="宋体" w:cs="宋体"/>
          <w:color w:val="000000"/>
          <w:kern w:val="0"/>
          <w:sz w:val="22"/>
          <w:szCs w:val="24"/>
        </w:rPr>
      </w:pPr>
      <w:r>
        <w:rPr>
          <w:rFonts w:hint="eastAsia" w:ascii="宋体" w:hAnsi="宋体" w:eastAsia="宋体" w:cs="宋体"/>
          <w:color w:val="000000"/>
          <w:kern w:val="0"/>
          <w:sz w:val="22"/>
          <w:szCs w:val="24"/>
        </w:rPr>
        <w:t>评分权重：</w:t>
      </w:r>
    </w:p>
    <w:p>
      <w:pPr>
        <w:keepNext w:val="0"/>
        <w:keepLines w:val="0"/>
        <w:pageBreakBefore w:val="0"/>
        <w:kinsoku/>
        <w:overflowPunct/>
        <w:topLinePunct w:val="0"/>
        <w:autoSpaceDE/>
        <w:autoSpaceDN/>
        <w:bidi w:val="0"/>
        <w:adjustRightInd/>
        <w:snapToGrid/>
        <w:spacing w:line="560" w:lineRule="exact"/>
        <w:ind w:firstLine="440" w:firstLineChars="200"/>
        <w:textAlignment w:val="auto"/>
        <w:outlineLvl w:val="9"/>
        <w:rPr>
          <w:rFonts w:hint="eastAsia" w:ascii="宋体" w:hAnsi="宋体" w:eastAsia="宋体" w:cs="宋体"/>
          <w:color w:val="000000"/>
          <w:kern w:val="0"/>
          <w:sz w:val="22"/>
          <w:szCs w:val="24"/>
        </w:rPr>
      </w:pPr>
      <w:r>
        <w:rPr>
          <w:rFonts w:hint="eastAsia" w:ascii="宋体" w:hAnsi="宋体" w:eastAsia="宋体" w:cs="宋体"/>
          <w:color w:val="000000"/>
          <w:kern w:val="0"/>
          <w:sz w:val="22"/>
          <w:szCs w:val="24"/>
        </w:rPr>
        <w:t>一级指标评分权重：依据市局相关文件规定，一级指标权重统一设置为：项目资金10%、产出指标50%、效益指标30%、服务对象满意度指标10%；自评总分100分，其中预算执行率10分、产出指标50分、效益指标30分、服务对象满意度指标10分。</w:t>
      </w:r>
    </w:p>
    <w:p>
      <w:pPr>
        <w:keepNext w:val="0"/>
        <w:keepLines w:val="0"/>
        <w:pageBreakBefore w:val="0"/>
        <w:kinsoku/>
        <w:overflowPunct/>
        <w:topLinePunct w:val="0"/>
        <w:autoSpaceDE/>
        <w:autoSpaceDN/>
        <w:bidi w:val="0"/>
        <w:adjustRightInd/>
        <w:snapToGrid/>
        <w:spacing w:line="560" w:lineRule="exact"/>
        <w:ind w:firstLine="440" w:firstLineChars="200"/>
        <w:textAlignment w:val="auto"/>
        <w:outlineLvl w:val="9"/>
        <w:rPr>
          <w:rFonts w:hint="eastAsia" w:ascii="宋体" w:hAnsi="宋体" w:eastAsia="宋体" w:cs="宋体"/>
          <w:color w:val="000000"/>
          <w:kern w:val="0"/>
          <w:sz w:val="22"/>
          <w:szCs w:val="24"/>
        </w:rPr>
      </w:pPr>
      <w:r>
        <w:rPr>
          <w:rFonts w:hint="eastAsia" w:ascii="宋体" w:hAnsi="宋体" w:eastAsia="宋体" w:cs="宋体"/>
          <w:color w:val="000000"/>
          <w:kern w:val="0"/>
          <w:sz w:val="22"/>
          <w:szCs w:val="24"/>
        </w:rPr>
        <w:t>二级指标评分权重：①预算执行率1个指标，评分与一级指标评分一致，为10分；②产出指标总分50分，其中产出数量、产出质量作为自评重点，评分均按16分确定，其余产出时效及产出成本两项指标按9分确定。③效果指标总分30分，考虑项目资金主要以当期效益为重，故社会效益指标、</w:t>
      </w:r>
      <w:r>
        <w:rPr>
          <w:rFonts w:hint="eastAsia" w:ascii="宋体" w:hAnsi="宋体" w:eastAsia="宋体" w:cs="宋体"/>
          <w:color w:val="000000"/>
          <w:kern w:val="0"/>
          <w:sz w:val="22"/>
          <w:szCs w:val="24"/>
          <w:lang w:eastAsia="zh-CN"/>
        </w:rPr>
        <w:t>环境</w:t>
      </w:r>
      <w:r>
        <w:rPr>
          <w:rFonts w:hint="eastAsia" w:ascii="宋体" w:hAnsi="宋体" w:eastAsia="宋体" w:cs="宋体"/>
          <w:color w:val="000000"/>
          <w:kern w:val="0"/>
          <w:sz w:val="22"/>
          <w:szCs w:val="24"/>
        </w:rPr>
        <w:t>效益各</w:t>
      </w:r>
      <w:r>
        <w:rPr>
          <w:rFonts w:hint="eastAsia" w:ascii="宋体" w:hAnsi="宋体" w:eastAsia="宋体" w:cs="宋体"/>
          <w:color w:val="000000"/>
          <w:kern w:val="0"/>
          <w:sz w:val="22"/>
          <w:szCs w:val="24"/>
          <w:lang w:val="en-US" w:eastAsia="zh-CN"/>
        </w:rPr>
        <w:t>15</w:t>
      </w:r>
      <w:r>
        <w:rPr>
          <w:rFonts w:hint="eastAsia" w:ascii="宋体" w:hAnsi="宋体" w:eastAsia="宋体" w:cs="宋体"/>
          <w:color w:val="000000"/>
          <w:kern w:val="0"/>
          <w:sz w:val="22"/>
          <w:szCs w:val="24"/>
        </w:rPr>
        <w:t>分。④服务对象满意度1个指标，评分与一级指标评分一致，仍为10分。</w:t>
      </w:r>
    </w:p>
    <w:p>
      <w:pPr>
        <w:keepNext w:val="0"/>
        <w:keepLines w:val="0"/>
        <w:pageBreakBefore w:val="0"/>
        <w:kinsoku/>
        <w:overflowPunct/>
        <w:topLinePunct w:val="0"/>
        <w:autoSpaceDE/>
        <w:autoSpaceDN/>
        <w:bidi w:val="0"/>
        <w:adjustRightInd/>
        <w:snapToGrid/>
        <w:spacing w:line="560" w:lineRule="exact"/>
        <w:ind w:firstLine="440" w:firstLineChars="200"/>
        <w:textAlignment w:val="auto"/>
        <w:outlineLvl w:val="9"/>
        <w:rPr>
          <w:rFonts w:hint="eastAsia" w:ascii="宋体" w:hAnsi="宋体" w:eastAsia="宋体" w:cs="宋体"/>
          <w:color w:val="000000"/>
          <w:kern w:val="0"/>
          <w:sz w:val="22"/>
          <w:szCs w:val="24"/>
        </w:rPr>
      </w:pPr>
      <w:r>
        <w:rPr>
          <w:rFonts w:hint="eastAsia" w:ascii="宋体" w:hAnsi="宋体" w:eastAsia="宋体" w:cs="宋体"/>
          <w:color w:val="000000"/>
          <w:kern w:val="0"/>
          <w:sz w:val="22"/>
          <w:szCs w:val="24"/>
        </w:rPr>
        <w:t>三级指标评分权重：按三级指标对应工作内容的重要程度综合确定，准确反映项目的产出和效益。</w:t>
      </w:r>
    </w:p>
    <w:p>
      <w:pPr>
        <w:keepNext w:val="0"/>
        <w:keepLines w:val="0"/>
        <w:pageBreakBefore w:val="0"/>
        <w:kinsoku/>
        <w:overflowPunct/>
        <w:topLinePunct w:val="0"/>
        <w:autoSpaceDE/>
        <w:autoSpaceDN/>
        <w:bidi w:val="0"/>
        <w:adjustRightInd/>
        <w:snapToGrid/>
        <w:spacing w:line="560" w:lineRule="exact"/>
        <w:ind w:firstLine="440" w:firstLineChars="200"/>
        <w:textAlignment w:val="auto"/>
        <w:outlineLvl w:val="9"/>
        <w:rPr>
          <w:rFonts w:hint="eastAsia" w:ascii="宋体" w:hAnsi="宋体" w:eastAsia="宋体" w:cs="宋体"/>
          <w:color w:val="000000"/>
          <w:kern w:val="0"/>
          <w:sz w:val="22"/>
          <w:szCs w:val="24"/>
        </w:rPr>
      </w:pPr>
      <w:r>
        <w:rPr>
          <w:rFonts w:hint="eastAsia" w:ascii="宋体" w:hAnsi="宋体" w:eastAsia="宋体" w:cs="宋体"/>
          <w:color w:val="000000"/>
          <w:kern w:val="0"/>
          <w:sz w:val="22"/>
          <w:szCs w:val="24"/>
        </w:rPr>
        <w:t>（4）确定评分规则。</w:t>
      </w:r>
    </w:p>
    <w:p>
      <w:pPr>
        <w:keepNext w:val="0"/>
        <w:keepLines w:val="0"/>
        <w:pageBreakBefore w:val="0"/>
        <w:kinsoku/>
        <w:overflowPunct/>
        <w:topLinePunct w:val="0"/>
        <w:autoSpaceDE/>
        <w:autoSpaceDN/>
        <w:bidi w:val="0"/>
        <w:adjustRightInd/>
        <w:snapToGrid/>
        <w:spacing w:line="560" w:lineRule="exact"/>
        <w:ind w:firstLine="440" w:firstLineChars="200"/>
        <w:textAlignment w:val="auto"/>
        <w:outlineLvl w:val="9"/>
        <w:rPr>
          <w:rFonts w:hint="eastAsia" w:ascii="宋体" w:hAnsi="宋体" w:eastAsia="宋体" w:cs="宋体"/>
          <w:color w:val="000000"/>
          <w:kern w:val="0"/>
          <w:sz w:val="22"/>
          <w:szCs w:val="24"/>
        </w:rPr>
      </w:pPr>
      <w:r>
        <w:rPr>
          <w:rFonts w:hint="eastAsia" w:ascii="宋体" w:hAnsi="宋体" w:eastAsia="宋体" w:cs="宋体"/>
          <w:color w:val="000000"/>
          <w:kern w:val="0"/>
          <w:sz w:val="22"/>
          <w:szCs w:val="24"/>
        </w:rPr>
        <w:t>单位自评评分采用定量和定性评价相结合的比较法进行</w:t>
      </w:r>
      <w:r>
        <w:rPr>
          <w:rFonts w:hint="eastAsia" w:ascii="宋体" w:hAnsi="宋体" w:eastAsia="宋体" w:cs="宋体"/>
          <w:color w:val="000000"/>
          <w:kern w:val="0"/>
          <w:sz w:val="22"/>
          <w:szCs w:val="24"/>
          <w:lang w:eastAsia="zh-CN"/>
        </w:rPr>
        <w:t>，</w:t>
      </w:r>
      <w:r>
        <w:rPr>
          <w:rFonts w:hint="eastAsia" w:ascii="宋体" w:hAnsi="宋体" w:eastAsia="宋体" w:cs="宋体"/>
          <w:color w:val="000000"/>
          <w:kern w:val="0"/>
          <w:sz w:val="22"/>
          <w:szCs w:val="24"/>
        </w:rPr>
        <w:t>定量指标的评分：与年初指标值比，100%完成指标值的，得分按该项三级指标所赋全部分值计算（如果是由于年初指标值设定明显偏低造成的，要按照偏离度适度调减分值）；未完成指标值的，按照完成值与设定指标值的比例计分。完成程度低于预期指标值60%以下或低于行业标准、历史标准的不计分。</w:t>
      </w:r>
    </w:p>
    <w:p>
      <w:pPr>
        <w:keepNext w:val="0"/>
        <w:keepLines w:val="0"/>
        <w:pageBreakBefore w:val="0"/>
        <w:kinsoku/>
        <w:overflowPunct/>
        <w:topLinePunct w:val="0"/>
        <w:autoSpaceDE/>
        <w:autoSpaceDN/>
        <w:bidi w:val="0"/>
        <w:adjustRightInd/>
        <w:snapToGrid/>
        <w:spacing w:line="560" w:lineRule="exact"/>
        <w:ind w:firstLine="440" w:firstLineChars="200"/>
        <w:textAlignment w:val="auto"/>
        <w:outlineLvl w:val="9"/>
        <w:rPr>
          <w:rFonts w:hint="eastAsia" w:ascii="宋体" w:hAnsi="宋体" w:eastAsia="宋体" w:cs="宋体"/>
          <w:color w:val="000000"/>
          <w:kern w:val="0"/>
          <w:sz w:val="22"/>
          <w:szCs w:val="24"/>
        </w:rPr>
      </w:pPr>
      <w:r>
        <w:rPr>
          <w:rFonts w:hint="eastAsia" w:ascii="宋体" w:hAnsi="宋体" w:eastAsia="宋体" w:cs="宋体"/>
          <w:color w:val="000000"/>
          <w:kern w:val="0"/>
          <w:sz w:val="22"/>
          <w:szCs w:val="24"/>
        </w:rPr>
        <w:t>定性指标的评分：根据指标完成情况分为达成年度指标、部分达成年度指标且有一定效果、未达成年度指标且效果较差3档，分别按照该指标对应分值区间100%-80%（含80%）、80%-60%（含60%）、60%-0%合理确定分值。各项绩效指标得分汇总成该项目自评的总分。</w:t>
      </w:r>
    </w:p>
    <w:p>
      <w:pPr>
        <w:keepNext w:val="0"/>
        <w:keepLines w:val="0"/>
        <w:pageBreakBefore w:val="0"/>
        <w:kinsoku/>
        <w:overflowPunct/>
        <w:topLinePunct w:val="0"/>
        <w:autoSpaceDE/>
        <w:autoSpaceDN/>
        <w:bidi w:val="0"/>
        <w:adjustRightInd/>
        <w:snapToGrid/>
        <w:spacing w:line="560" w:lineRule="exact"/>
        <w:ind w:firstLine="440" w:firstLineChars="200"/>
        <w:textAlignment w:val="auto"/>
        <w:outlineLvl w:val="9"/>
        <w:rPr>
          <w:rFonts w:hint="eastAsia" w:ascii="宋体" w:hAnsi="宋体" w:eastAsia="宋体" w:cs="宋体"/>
          <w:color w:val="000000"/>
          <w:kern w:val="0"/>
          <w:sz w:val="22"/>
          <w:szCs w:val="24"/>
        </w:rPr>
      </w:pPr>
      <w:r>
        <w:rPr>
          <w:rFonts w:hint="eastAsia" w:ascii="宋体" w:hAnsi="宋体" w:eastAsia="宋体" w:cs="宋体"/>
          <w:color w:val="000000"/>
          <w:kern w:val="0"/>
          <w:sz w:val="22"/>
          <w:szCs w:val="24"/>
        </w:rPr>
        <w:t>（5）拟定绩效资料清单。根据政策要求，结合项目特点制定项目绩效自评资料清单。</w:t>
      </w:r>
    </w:p>
    <w:p>
      <w:pPr>
        <w:pStyle w:val="3"/>
        <w:keepNext w:val="0"/>
        <w:keepLines w:val="0"/>
        <w:pageBreakBefore w:val="0"/>
        <w:kinsoku/>
        <w:overflowPunct/>
        <w:topLinePunct w:val="0"/>
        <w:autoSpaceDE/>
        <w:autoSpaceDN/>
        <w:bidi w:val="0"/>
        <w:adjustRightInd/>
        <w:snapToGrid/>
        <w:spacing w:line="560" w:lineRule="exact"/>
        <w:ind w:firstLine="420" w:firstLineChars="200"/>
        <w:textAlignment w:val="auto"/>
        <w:rPr>
          <w:rFonts w:hint="eastAsia"/>
          <w:lang w:val="en-US" w:eastAsia="zh-CN"/>
        </w:rPr>
      </w:pPr>
      <w:r>
        <w:rPr>
          <w:rFonts w:hint="eastAsia"/>
          <w:lang w:val="en-US" w:eastAsia="zh-CN"/>
        </w:rPr>
        <w:t>2.组织实施阶段</w:t>
      </w:r>
    </w:p>
    <w:p>
      <w:pPr>
        <w:pStyle w:val="3"/>
        <w:keepNext w:val="0"/>
        <w:keepLines w:val="0"/>
        <w:pageBreakBefore w:val="0"/>
        <w:kinsoku/>
        <w:overflowPunct/>
        <w:topLinePunct w:val="0"/>
        <w:autoSpaceDE/>
        <w:autoSpaceDN/>
        <w:bidi w:val="0"/>
        <w:adjustRightInd/>
        <w:snapToGrid/>
        <w:spacing w:line="560" w:lineRule="exact"/>
        <w:ind w:firstLine="420" w:firstLineChars="200"/>
        <w:textAlignment w:val="auto"/>
        <w:rPr>
          <w:rFonts w:hint="eastAsia"/>
          <w:lang w:val="en-US" w:eastAsia="zh-CN"/>
        </w:rPr>
      </w:pPr>
      <w:r>
        <w:rPr>
          <w:rFonts w:hint="eastAsia"/>
          <w:lang w:val="en-US" w:eastAsia="zh-CN"/>
        </w:rPr>
        <w:t>（1）开展内部培训。由项目科室就本单位本年度自评工作执行的政策、具体工作内容、评分体系建立、资料搜集审核、工作时间节点以及承担的责任等，对参与自评项目的全部人员了进行专门讲解培训。并将资料清单布置给各科室项目负责人。</w:t>
      </w:r>
    </w:p>
    <w:p>
      <w:pPr>
        <w:pStyle w:val="3"/>
        <w:keepNext w:val="0"/>
        <w:keepLines w:val="0"/>
        <w:pageBreakBefore w:val="0"/>
        <w:kinsoku/>
        <w:overflowPunct/>
        <w:topLinePunct w:val="0"/>
        <w:autoSpaceDE/>
        <w:autoSpaceDN/>
        <w:bidi w:val="0"/>
        <w:adjustRightInd/>
        <w:snapToGrid/>
        <w:spacing w:line="560" w:lineRule="exact"/>
        <w:ind w:firstLine="420" w:firstLineChars="200"/>
        <w:textAlignment w:val="auto"/>
        <w:rPr>
          <w:rFonts w:hint="eastAsia"/>
          <w:lang w:val="en-US" w:eastAsia="zh-CN"/>
        </w:rPr>
      </w:pPr>
      <w:r>
        <w:rPr>
          <w:rFonts w:hint="eastAsia"/>
          <w:lang w:val="en-US" w:eastAsia="zh-CN"/>
        </w:rPr>
        <w:t>（2）搜集资料。由项目负责人在规定的限期内完成资料搜集工作以及依据部门自评的指标体系和评分规则制定各自负责项目的评分体系，并由其科室负责人对资料的真实性、完整性、准确性以及评分体系的合理性等进行了复核，制作成项目自评资料手册。</w:t>
      </w:r>
    </w:p>
    <w:p>
      <w:pPr>
        <w:pStyle w:val="3"/>
        <w:keepNext w:val="0"/>
        <w:keepLines w:val="0"/>
        <w:pageBreakBefore w:val="0"/>
        <w:kinsoku/>
        <w:overflowPunct/>
        <w:topLinePunct w:val="0"/>
        <w:autoSpaceDE/>
        <w:autoSpaceDN/>
        <w:bidi w:val="0"/>
        <w:adjustRightInd/>
        <w:snapToGrid/>
        <w:spacing w:line="560" w:lineRule="exact"/>
        <w:ind w:firstLine="420" w:firstLineChars="200"/>
        <w:textAlignment w:val="auto"/>
        <w:rPr>
          <w:rFonts w:hint="eastAsia"/>
          <w:lang w:val="en-US" w:eastAsia="zh-CN"/>
        </w:rPr>
      </w:pPr>
      <w:r>
        <w:rPr>
          <w:rFonts w:hint="eastAsia"/>
          <w:lang w:val="en-US" w:eastAsia="zh-CN"/>
        </w:rPr>
        <w:t>（3）填报《项目支出绩效自评表》、撰写自评项目《项目支出绩效评价报告》。根据项目绩效资料的事实为依据，由项目负责人员对项目资金情况、项目产出目标、项目效果目标、项目服务对象满意度目标等与实际的完成情况进行对比，找出预定绩效目标与实际完成情况之间的差异，分析原因、拟定改进措施，填报《项目支出绩效自评表》、依据提纲撰写《项目支出绩效评价报告》，经科室负责人复核后，提交自评工作组。</w:t>
      </w:r>
    </w:p>
    <w:p>
      <w:pPr>
        <w:pStyle w:val="3"/>
        <w:keepNext w:val="0"/>
        <w:keepLines w:val="0"/>
        <w:pageBreakBefore w:val="0"/>
        <w:kinsoku/>
        <w:overflowPunct/>
        <w:topLinePunct w:val="0"/>
        <w:autoSpaceDE/>
        <w:autoSpaceDN/>
        <w:bidi w:val="0"/>
        <w:adjustRightInd/>
        <w:snapToGrid/>
        <w:spacing w:line="560" w:lineRule="exact"/>
        <w:ind w:firstLine="420" w:firstLineChars="200"/>
        <w:textAlignment w:val="auto"/>
        <w:rPr>
          <w:rFonts w:hint="eastAsia"/>
          <w:lang w:val="en-US" w:eastAsia="zh-CN"/>
        </w:rPr>
      </w:pPr>
      <w:r>
        <w:rPr>
          <w:rFonts w:hint="eastAsia"/>
          <w:lang w:val="en-US" w:eastAsia="zh-CN"/>
        </w:rPr>
        <w:t>3.提交报告阶段</w:t>
      </w:r>
    </w:p>
    <w:p>
      <w:pPr>
        <w:pStyle w:val="3"/>
        <w:keepNext w:val="0"/>
        <w:keepLines w:val="0"/>
        <w:pageBreakBefore w:val="0"/>
        <w:kinsoku/>
        <w:overflowPunct/>
        <w:topLinePunct w:val="0"/>
        <w:autoSpaceDE/>
        <w:autoSpaceDN/>
        <w:bidi w:val="0"/>
        <w:adjustRightInd/>
        <w:snapToGrid/>
        <w:spacing w:line="560" w:lineRule="exact"/>
        <w:ind w:firstLine="420" w:firstLineChars="200"/>
        <w:textAlignment w:val="auto"/>
        <w:rPr>
          <w:rFonts w:hint="eastAsia"/>
          <w:lang w:val="en-US" w:eastAsia="zh-CN"/>
        </w:rPr>
      </w:pPr>
      <w:r>
        <w:rPr>
          <w:rFonts w:hint="eastAsia"/>
          <w:lang w:val="en-US" w:eastAsia="zh-CN"/>
        </w:rPr>
        <w:t>（1）自评结果审核。自评工作组成员按内部回避原则，依据项目自定的评分体系对科室提交的自评表填报内容、评分、绩效资料以及绩效评价报告等的合理性、完整性、客观性等进行审核。与项目负责人就相关事项进行沟通后出具修改意见并要求项目负责限期整改。</w:t>
      </w:r>
    </w:p>
    <w:p>
      <w:pPr>
        <w:pStyle w:val="3"/>
        <w:keepNext w:val="0"/>
        <w:keepLines w:val="0"/>
        <w:pageBreakBefore w:val="0"/>
        <w:kinsoku/>
        <w:overflowPunct/>
        <w:topLinePunct w:val="0"/>
        <w:autoSpaceDE/>
        <w:autoSpaceDN/>
        <w:bidi w:val="0"/>
        <w:adjustRightInd/>
        <w:snapToGrid/>
        <w:spacing w:line="560" w:lineRule="exact"/>
        <w:ind w:firstLine="420" w:firstLineChars="200"/>
        <w:textAlignment w:val="auto"/>
        <w:rPr>
          <w:rFonts w:hint="eastAsia"/>
          <w:lang w:val="en-US" w:eastAsia="zh-CN"/>
        </w:rPr>
      </w:pPr>
      <w:r>
        <w:rPr>
          <w:rFonts w:hint="eastAsia"/>
          <w:lang w:val="en-US" w:eastAsia="zh-CN"/>
        </w:rPr>
        <w:t>（2）修订自评结果。项目负责人依据修改意见，核对相关证据资料，修订后出具正式的《项目支出绩效自评表》、《项目支出绩效评价报告》统一上传至区财政局。</w:t>
      </w:r>
    </w:p>
    <w:p>
      <w:pPr>
        <w:pStyle w:val="3"/>
        <w:keepNext w:val="0"/>
        <w:keepLines w:val="0"/>
        <w:pageBreakBefore w:val="0"/>
        <w:kinsoku/>
        <w:overflowPunct/>
        <w:topLinePunct w:val="0"/>
        <w:autoSpaceDE/>
        <w:autoSpaceDN/>
        <w:bidi w:val="0"/>
        <w:adjustRightInd/>
        <w:snapToGrid/>
        <w:spacing w:line="560" w:lineRule="exact"/>
        <w:ind w:firstLine="420" w:firstLineChars="200"/>
        <w:textAlignment w:val="auto"/>
        <w:rPr>
          <w:rFonts w:hint="eastAsia"/>
          <w:lang w:val="en-US" w:eastAsia="zh-CN"/>
        </w:rPr>
      </w:pPr>
      <w:r>
        <w:rPr>
          <w:rFonts w:hint="eastAsia"/>
          <w:lang w:val="en-US" w:eastAsia="zh-CN"/>
        </w:rPr>
        <w:t>4.成果应用阶段</w:t>
      </w:r>
    </w:p>
    <w:p>
      <w:pPr>
        <w:pStyle w:val="3"/>
        <w:keepNext w:val="0"/>
        <w:keepLines w:val="0"/>
        <w:pageBreakBefore w:val="0"/>
        <w:kinsoku/>
        <w:overflowPunct/>
        <w:topLinePunct w:val="0"/>
        <w:autoSpaceDE/>
        <w:autoSpaceDN/>
        <w:bidi w:val="0"/>
        <w:adjustRightInd/>
        <w:snapToGrid/>
        <w:spacing w:line="560" w:lineRule="exact"/>
        <w:ind w:firstLine="420" w:firstLineChars="200"/>
        <w:textAlignment w:val="auto"/>
        <w:rPr>
          <w:rFonts w:hint="eastAsia"/>
          <w:lang w:val="en-US" w:eastAsia="zh-CN"/>
        </w:rPr>
      </w:pPr>
      <w:r>
        <w:rPr>
          <w:rFonts w:hint="eastAsia"/>
          <w:lang w:val="en-US" w:eastAsia="zh-CN"/>
        </w:rPr>
        <w:t>（1）汇总分析自评问题。由自评工作组对自评项目出现的问题并进行归类整理，分析问题形成原因。限期要求项目负责人员提交整改措施，自评工作组对整改措施进行审议，无异议后形成各整改建议，向领导班子会进行汇报。</w:t>
      </w:r>
    </w:p>
    <w:p>
      <w:pPr>
        <w:pStyle w:val="3"/>
        <w:keepNext w:val="0"/>
        <w:keepLines w:val="0"/>
        <w:pageBreakBefore w:val="0"/>
        <w:kinsoku/>
        <w:overflowPunct/>
        <w:topLinePunct w:val="0"/>
        <w:autoSpaceDE/>
        <w:autoSpaceDN/>
        <w:bidi w:val="0"/>
        <w:adjustRightInd/>
        <w:snapToGrid/>
        <w:spacing w:line="560" w:lineRule="exact"/>
        <w:ind w:firstLine="420" w:firstLineChars="200"/>
        <w:textAlignment w:val="auto"/>
        <w:rPr>
          <w:rFonts w:hint="eastAsia"/>
          <w:lang w:val="en-US" w:eastAsia="zh-CN"/>
        </w:rPr>
      </w:pPr>
      <w:r>
        <w:rPr>
          <w:rFonts w:hint="eastAsia"/>
          <w:lang w:val="en-US" w:eastAsia="zh-CN"/>
        </w:rPr>
        <w:t>（2）实施整改。</w:t>
      </w:r>
    </w:p>
    <w:p>
      <w:pPr>
        <w:pStyle w:val="3"/>
        <w:keepNext w:val="0"/>
        <w:keepLines w:val="0"/>
        <w:pageBreakBefore w:val="0"/>
        <w:kinsoku/>
        <w:overflowPunct/>
        <w:topLinePunct w:val="0"/>
        <w:autoSpaceDE/>
        <w:autoSpaceDN/>
        <w:bidi w:val="0"/>
        <w:adjustRightInd/>
        <w:snapToGrid/>
        <w:spacing w:line="560" w:lineRule="exact"/>
        <w:ind w:firstLine="420" w:firstLineChars="200"/>
        <w:textAlignment w:val="auto"/>
        <w:rPr>
          <w:rFonts w:hint="eastAsia"/>
          <w:lang w:val="en-US" w:eastAsia="zh-CN"/>
        </w:rPr>
      </w:pPr>
      <w:r>
        <w:rPr>
          <w:rFonts w:hint="eastAsia"/>
          <w:lang w:val="en-US" w:eastAsia="zh-CN"/>
        </w:rPr>
        <w:t>制定整改清单，监督各项目单位限期整改，整改情况将形成报告，向领导班子汇报，对整改不彻底或存在严重问题的相关责任人追究相关责任。同时，组织相关科室对内控制度中存在的缺陷予以完善。</w:t>
      </w:r>
    </w:p>
    <w:p>
      <w:pPr>
        <w:spacing w:line="600" w:lineRule="exact"/>
        <w:ind w:firstLine="442" w:firstLineChars="200"/>
        <w:rPr>
          <w:rFonts w:ascii="宋体" w:hAnsi="宋体" w:eastAsia="宋体" w:cs="宋体"/>
          <w:b/>
          <w:color w:val="000000"/>
          <w:kern w:val="0"/>
          <w:sz w:val="22"/>
          <w:szCs w:val="24"/>
        </w:rPr>
      </w:pPr>
      <w:r>
        <w:rPr>
          <w:rFonts w:hint="eastAsia" w:ascii="宋体" w:hAnsi="宋体" w:eastAsia="宋体" w:cs="宋体"/>
          <w:b/>
          <w:color w:val="000000"/>
          <w:kern w:val="0"/>
          <w:sz w:val="22"/>
          <w:szCs w:val="24"/>
        </w:rPr>
        <w:t>三、综合评价情况及评价结论（附相关评分表）</w:t>
      </w:r>
    </w:p>
    <w:p>
      <w:pPr>
        <w:pStyle w:val="2"/>
        <w:keepNext w:val="0"/>
        <w:keepLines w:val="0"/>
        <w:pageBreakBefore w:val="0"/>
        <w:numPr>
          <w:ilvl w:val="0"/>
          <w:numId w:val="0"/>
        </w:numPr>
        <w:kinsoku/>
        <w:overflowPunct/>
        <w:topLinePunct w:val="0"/>
        <w:autoSpaceDE/>
        <w:autoSpaceDN/>
        <w:bidi w:val="0"/>
        <w:adjustRightInd/>
        <w:snapToGrid/>
        <w:spacing w:line="560" w:lineRule="exact"/>
        <w:jc w:val="both"/>
        <w:textAlignment w:val="auto"/>
        <w:rPr>
          <w:rFonts w:hint="eastAsia" w:ascii="Times New Roman" w:hAnsi="Times New Roman" w:eastAsia="宋体" w:cs="Times New Roman"/>
          <w:b w:val="0"/>
          <w:bCs w:val="0"/>
          <w:sz w:val="21"/>
          <w:szCs w:val="22"/>
          <w:lang w:val="en-US" w:eastAsia="zh-CN" w:bidi="ar-SA"/>
        </w:rPr>
      </w:pPr>
      <w:r>
        <w:rPr>
          <w:rFonts w:hint="eastAsia" w:ascii="Times New Roman" w:hAnsi="Times New Roman" w:eastAsia="宋体" w:cs="Times New Roman"/>
          <w:b w:val="0"/>
          <w:bCs w:val="0"/>
          <w:sz w:val="21"/>
          <w:szCs w:val="22"/>
          <w:lang w:val="en-US" w:eastAsia="zh-CN" w:bidi="ar-SA"/>
        </w:rPr>
        <w:t>综合评价情况：</w:t>
      </w:r>
    </w:p>
    <w:p>
      <w:pPr>
        <w:pStyle w:val="2"/>
        <w:keepNext w:val="0"/>
        <w:keepLines w:val="0"/>
        <w:pageBreakBefore w:val="0"/>
        <w:numPr>
          <w:ilvl w:val="0"/>
          <w:numId w:val="0"/>
        </w:numPr>
        <w:kinsoku/>
        <w:overflowPunct/>
        <w:topLinePunct w:val="0"/>
        <w:autoSpaceDE/>
        <w:autoSpaceDN/>
        <w:bidi w:val="0"/>
        <w:adjustRightInd/>
        <w:snapToGrid/>
        <w:spacing w:line="560" w:lineRule="exact"/>
        <w:ind w:firstLine="420" w:firstLineChars="200"/>
        <w:jc w:val="both"/>
        <w:textAlignment w:val="auto"/>
        <w:rPr>
          <w:rFonts w:hint="eastAsia" w:ascii="Times New Roman" w:hAnsi="Times New Roman" w:eastAsia="宋体" w:cs="Times New Roman"/>
          <w:b w:val="0"/>
          <w:bCs w:val="0"/>
          <w:sz w:val="21"/>
          <w:szCs w:val="22"/>
          <w:lang w:val="en-US" w:eastAsia="zh-CN" w:bidi="ar-SA"/>
        </w:rPr>
      </w:pPr>
      <w:r>
        <w:rPr>
          <w:rFonts w:hint="eastAsia" w:ascii="Times New Roman" w:hAnsi="Times New Roman" w:eastAsia="宋体" w:cs="Times New Roman"/>
          <w:b w:val="0"/>
          <w:bCs w:val="0"/>
          <w:sz w:val="21"/>
          <w:szCs w:val="22"/>
          <w:lang w:val="en-US" w:eastAsia="zh-CN" w:bidi="ar-SA"/>
        </w:rPr>
        <w:t>通过2024年西城区停车协管员工资经费项目的实施，完成组建停车协管员队伍、加强停车管理力量工作，达到了及时、有力的处置各类突发情况，做好停车治理工作，确保城市运行安全效果。</w:t>
      </w:r>
    </w:p>
    <w:p>
      <w:pPr>
        <w:pStyle w:val="2"/>
        <w:keepNext w:val="0"/>
        <w:keepLines w:val="0"/>
        <w:pageBreakBefore w:val="0"/>
        <w:numPr>
          <w:ilvl w:val="0"/>
          <w:numId w:val="0"/>
        </w:numPr>
        <w:kinsoku/>
        <w:overflowPunct/>
        <w:topLinePunct w:val="0"/>
        <w:autoSpaceDE/>
        <w:autoSpaceDN/>
        <w:bidi w:val="0"/>
        <w:adjustRightInd/>
        <w:snapToGrid/>
        <w:spacing w:line="560" w:lineRule="exact"/>
        <w:ind w:firstLine="420" w:firstLineChars="200"/>
        <w:jc w:val="both"/>
        <w:textAlignment w:val="auto"/>
        <w:rPr>
          <w:rFonts w:hint="eastAsia" w:ascii="Times New Roman" w:hAnsi="Times New Roman" w:eastAsia="宋体" w:cs="Times New Roman"/>
          <w:b w:val="0"/>
          <w:bCs w:val="0"/>
          <w:sz w:val="21"/>
          <w:szCs w:val="22"/>
          <w:lang w:val="en-US" w:eastAsia="zh-CN" w:bidi="ar-SA"/>
        </w:rPr>
      </w:pPr>
      <w:r>
        <w:rPr>
          <w:rFonts w:hint="eastAsia" w:ascii="Times New Roman" w:hAnsi="Times New Roman" w:eastAsia="宋体" w:cs="Times New Roman"/>
          <w:b w:val="0"/>
          <w:bCs w:val="0"/>
          <w:sz w:val="21"/>
          <w:szCs w:val="22"/>
          <w:lang w:val="en-US" w:eastAsia="zh-CN" w:bidi="ar-SA"/>
        </w:rPr>
        <w:t xml:space="preserve">评价结论： </w:t>
      </w:r>
    </w:p>
    <w:p>
      <w:pPr>
        <w:pStyle w:val="2"/>
        <w:keepNext w:val="0"/>
        <w:keepLines w:val="0"/>
        <w:pageBreakBefore w:val="0"/>
        <w:numPr>
          <w:ilvl w:val="0"/>
          <w:numId w:val="0"/>
        </w:numPr>
        <w:kinsoku/>
        <w:overflowPunct/>
        <w:topLinePunct w:val="0"/>
        <w:autoSpaceDE/>
        <w:autoSpaceDN/>
        <w:bidi w:val="0"/>
        <w:adjustRightInd/>
        <w:snapToGrid/>
        <w:spacing w:line="560" w:lineRule="exact"/>
        <w:ind w:firstLine="420" w:firstLineChars="200"/>
        <w:jc w:val="both"/>
        <w:textAlignment w:val="auto"/>
        <w:rPr>
          <w:rFonts w:hint="eastAsia" w:ascii="宋体" w:hAnsi="宋体" w:eastAsia="宋体" w:cs="宋体"/>
          <w:b/>
          <w:color w:val="000000"/>
          <w:kern w:val="0"/>
          <w:sz w:val="22"/>
          <w:szCs w:val="24"/>
        </w:rPr>
      </w:pPr>
      <w:r>
        <w:rPr>
          <w:rFonts w:hint="eastAsia" w:ascii="Times New Roman" w:hAnsi="Times New Roman" w:eastAsia="宋体" w:cs="Times New Roman"/>
          <w:b w:val="0"/>
          <w:bCs w:val="0"/>
          <w:sz w:val="21"/>
          <w:szCs w:val="22"/>
          <w:lang w:val="en-US" w:eastAsia="zh-CN" w:bidi="ar-SA"/>
        </w:rPr>
        <w:t>2024年西城区停车协管员工资经费项目自评得分98.6分，绩效级别为“优”。其中：预算执行8.6分，项目产出50分，项目效益30分，服务对象满意度10分。</w:t>
      </w:r>
    </w:p>
    <w:p>
      <w:pPr>
        <w:spacing w:line="600" w:lineRule="exact"/>
        <w:ind w:firstLine="442" w:firstLineChars="200"/>
        <w:rPr>
          <w:rFonts w:ascii="宋体" w:hAnsi="宋体" w:eastAsia="宋体" w:cs="宋体"/>
          <w:b/>
          <w:color w:val="000000"/>
          <w:kern w:val="0"/>
          <w:sz w:val="22"/>
          <w:szCs w:val="24"/>
        </w:rPr>
      </w:pPr>
      <w:r>
        <w:rPr>
          <w:rFonts w:hint="eastAsia" w:ascii="宋体" w:hAnsi="宋体" w:eastAsia="宋体" w:cs="宋体"/>
          <w:b/>
          <w:color w:val="000000"/>
          <w:kern w:val="0"/>
          <w:sz w:val="22"/>
          <w:szCs w:val="24"/>
        </w:rPr>
        <w:t>四、绩效评价指标分析</w:t>
      </w:r>
    </w:p>
    <w:p>
      <w:pPr>
        <w:spacing w:line="600" w:lineRule="exact"/>
        <w:ind w:firstLine="440" w:firstLineChars="200"/>
        <w:outlineLvl w:val="0"/>
        <w:rPr>
          <w:rFonts w:hint="eastAsia" w:ascii="宋体" w:hAnsi="宋体" w:eastAsia="宋体" w:cs="宋体"/>
          <w:color w:val="000000"/>
          <w:kern w:val="0"/>
          <w:sz w:val="22"/>
          <w:szCs w:val="24"/>
        </w:rPr>
      </w:pPr>
      <w:r>
        <w:rPr>
          <w:rFonts w:hint="eastAsia" w:ascii="宋体" w:hAnsi="宋体" w:eastAsia="宋体" w:cs="宋体"/>
          <w:color w:val="000000"/>
          <w:kern w:val="0"/>
          <w:sz w:val="22"/>
          <w:szCs w:val="24"/>
        </w:rPr>
        <w:t>（一）项目决策情况。</w:t>
      </w:r>
    </w:p>
    <w:p>
      <w:pPr>
        <w:pStyle w:val="2"/>
        <w:keepNext w:val="0"/>
        <w:keepLines w:val="0"/>
        <w:pageBreakBefore w:val="0"/>
        <w:numPr>
          <w:ilvl w:val="0"/>
          <w:numId w:val="0"/>
        </w:numPr>
        <w:kinsoku/>
        <w:overflowPunct/>
        <w:topLinePunct w:val="0"/>
        <w:autoSpaceDE/>
        <w:autoSpaceDN/>
        <w:bidi w:val="0"/>
        <w:adjustRightInd/>
        <w:snapToGrid/>
        <w:spacing w:line="560" w:lineRule="exact"/>
        <w:ind w:firstLine="420" w:firstLineChars="200"/>
        <w:jc w:val="both"/>
        <w:textAlignment w:val="auto"/>
        <w:rPr>
          <w:rFonts w:hint="eastAsia" w:ascii="Times New Roman" w:hAnsi="Times New Roman" w:eastAsia="宋体" w:cs="Times New Roman"/>
          <w:b w:val="0"/>
          <w:bCs w:val="0"/>
          <w:sz w:val="21"/>
          <w:szCs w:val="22"/>
          <w:lang w:val="en-US" w:eastAsia="zh-CN" w:bidi="ar-SA"/>
        </w:rPr>
      </w:pPr>
      <w:r>
        <w:rPr>
          <w:rFonts w:hint="eastAsia" w:ascii="Times New Roman" w:hAnsi="Times New Roman" w:eastAsia="宋体" w:cs="Times New Roman"/>
          <w:b w:val="0"/>
          <w:bCs w:val="0"/>
          <w:sz w:val="21"/>
          <w:szCs w:val="22"/>
          <w:lang w:val="en-US" w:eastAsia="zh-CN" w:bidi="ar-SA"/>
        </w:rPr>
        <w:t xml:space="preserve">1、项目立项情况，立项依据充分性：本项目立项符合法律法规、相关政策、发展规划以及部门职责。立项程序规范性：本项目按照规定的程序申请设立；审批文件、材料符合相关要求；事前已经过必要的可行性研究、专家论证、风险评估、绩效评估、集体决策。 </w:t>
      </w:r>
    </w:p>
    <w:p>
      <w:pPr>
        <w:pStyle w:val="2"/>
        <w:keepNext w:val="0"/>
        <w:keepLines w:val="0"/>
        <w:pageBreakBefore w:val="0"/>
        <w:numPr>
          <w:ilvl w:val="0"/>
          <w:numId w:val="0"/>
        </w:numPr>
        <w:kinsoku/>
        <w:overflowPunct/>
        <w:topLinePunct w:val="0"/>
        <w:autoSpaceDE/>
        <w:autoSpaceDN/>
        <w:bidi w:val="0"/>
        <w:adjustRightInd/>
        <w:snapToGrid/>
        <w:spacing w:line="560" w:lineRule="exact"/>
        <w:ind w:firstLine="420" w:firstLineChars="200"/>
        <w:jc w:val="both"/>
        <w:textAlignment w:val="auto"/>
        <w:rPr>
          <w:rFonts w:hint="eastAsia" w:ascii="Times New Roman" w:hAnsi="Times New Roman" w:eastAsia="宋体" w:cs="Times New Roman"/>
          <w:b w:val="0"/>
          <w:bCs w:val="0"/>
          <w:sz w:val="21"/>
          <w:szCs w:val="22"/>
          <w:lang w:val="en-US" w:eastAsia="zh-CN" w:bidi="ar-SA"/>
        </w:rPr>
      </w:pPr>
      <w:r>
        <w:rPr>
          <w:rFonts w:hint="eastAsia" w:ascii="Times New Roman" w:hAnsi="Times New Roman" w:eastAsia="宋体" w:cs="Times New Roman"/>
          <w:b w:val="0"/>
          <w:bCs w:val="0"/>
          <w:sz w:val="21"/>
          <w:szCs w:val="22"/>
          <w:lang w:val="en-US" w:eastAsia="zh-CN" w:bidi="ar-SA"/>
        </w:rPr>
        <w:t>2、绩效目标设立情况，绩效目标合理性：项目所设定的绩效目标依据充分，符合客观实际。绩效指标明确性：已将项目绩效目标细化分解为具体的绩效指标；能够通过清晰、可衡量的指标值予以体现；能够与项目目标任务数或计划数相对应。</w:t>
      </w:r>
    </w:p>
    <w:p>
      <w:pPr>
        <w:pStyle w:val="2"/>
        <w:keepNext w:val="0"/>
        <w:keepLines w:val="0"/>
        <w:pageBreakBefore w:val="0"/>
        <w:numPr>
          <w:ilvl w:val="0"/>
          <w:numId w:val="0"/>
        </w:numPr>
        <w:kinsoku/>
        <w:overflowPunct/>
        <w:topLinePunct w:val="0"/>
        <w:autoSpaceDE/>
        <w:autoSpaceDN/>
        <w:bidi w:val="0"/>
        <w:adjustRightInd/>
        <w:snapToGrid/>
        <w:spacing w:line="560" w:lineRule="exact"/>
        <w:ind w:firstLine="420" w:firstLineChars="200"/>
        <w:jc w:val="both"/>
        <w:textAlignment w:val="auto"/>
        <w:rPr>
          <w:rFonts w:hint="eastAsia" w:ascii="Times New Roman" w:hAnsi="Times New Roman" w:eastAsia="宋体" w:cs="Times New Roman"/>
          <w:b w:val="0"/>
          <w:bCs w:val="0"/>
          <w:sz w:val="21"/>
          <w:szCs w:val="22"/>
          <w:lang w:val="en-US" w:eastAsia="zh-CN" w:bidi="ar-SA"/>
        </w:rPr>
      </w:pPr>
      <w:r>
        <w:rPr>
          <w:rFonts w:hint="eastAsia" w:ascii="Times New Roman" w:hAnsi="Times New Roman" w:eastAsia="宋体" w:cs="Times New Roman"/>
          <w:b w:val="0"/>
          <w:bCs w:val="0"/>
          <w:sz w:val="21"/>
          <w:szCs w:val="22"/>
          <w:lang w:val="en-US" w:eastAsia="zh-CN" w:bidi="ar-SA"/>
        </w:rPr>
        <w:t>3、资金投入情况预算编制科学性：预算编制已经过科学论证；预算内容与项目内容匹配；预算额度测算依据充分；预算确定的项目投资额或资金量与工作任务相匹配。资金分配合理性：项目预算资金分配有测算依据，与补助单位或地方实际相适应。</w:t>
      </w:r>
    </w:p>
    <w:p>
      <w:pPr>
        <w:spacing w:line="600" w:lineRule="exact"/>
        <w:ind w:firstLine="440" w:firstLineChars="200"/>
        <w:outlineLvl w:val="0"/>
        <w:rPr>
          <w:rFonts w:hint="eastAsia" w:ascii="宋体" w:hAnsi="宋体" w:eastAsia="宋体" w:cs="宋体"/>
          <w:color w:val="000000"/>
          <w:kern w:val="0"/>
          <w:sz w:val="22"/>
          <w:szCs w:val="24"/>
        </w:rPr>
      </w:pPr>
    </w:p>
    <w:p>
      <w:pPr>
        <w:numPr>
          <w:ilvl w:val="0"/>
          <w:numId w:val="2"/>
        </w:numPr>
        <w:spacing w:line="600" w:lineRule="exact"/>
        <w:ind w:firstLine="440" w:firstLineChars="200"/>
        <w:outlineLvl w:val="0"/>
        <w:rPr>
          <w:rFonts w:hint="eastAsia" w:ascii="宋体" w:hAnsi="宋体" w:eastAsia="宋体" w:cs="宋体"/>
          <w:color w:val="000000"/>
          <w:kern w:val="0"/>
          <w:sz w:val="22"/>
          <w:szCs w:val="24"/>
        </w:rPr>
      </w:pPr>
      <w:r>
        <w:rPr>
          <w:rFonts w:hint="eastAsia" w:ascii="宋体" w:hAnsi="宋体" w:eastAsia="宋体" w:cs="宋体"/>
          <w:color w:val="000000"/>
          <w:kern w:val="0"/>
          <w:sz w:val="22"/>
          <w:szCs w:val="24"/>
        </w:rPr>
        <w:t>项目过程情况。</w:t>
      </w:r>
    </w:p>
    <w:p>
      <w:pPr>
        <w:pStyle w:val="2"/>
        <w:keepNext w:val="0"/>
        <w:keepLines w:val="0"/>
        <w:pageBreakBefore w:val="0"/>
        <w:numPr>
          <w:ilvl w:val="0"/>
          <w:numId w:val="0"/>
        </w:numPr>
        <w:kinsoku/>
        <w:overflowPunct/>
        <w:topLinePunct w:val="0"/>
        <w:autoSpaceDE/>
        <w:autoSpaceDN/>
        <w:bidi w:val="0"/>
        <w:adjustRightInd/>
        <w:snapToGrid/>
        <w:spacing w:line="560" w:lineRule="exact"/>
        <w:jc w:val="both"/>
        <w:textAlignment w:val="auto"/>
        <w:rPr>
          <w:rFonts w:hint="eastAsia" w:ascii="Times New Roman" w:hAnsi="Times New Roman" w:eastAsia="宋体" w:cs="Times New Roman"/>
          <w:b w:val="0"/>
          <w:bCs w:val="0"/>
          <w:sz w:val="21"/>
          <w:szCs w:val="22"/>
          <w:lang w:val="en-US" w:eastAsia="zh-CN" w:bidi="ar-SA"/>
        </w:rPr>
      </w:pPr>
      <w:r>
        <w:rPr>
          <w:rFonts w:hint="eastAsia" w:ascii="宋体" w:hAnsi="宋体" w:eastAsia="宋体" w:cs="宋体"/>
          <w:color w:val="000000"/>
          <w:kern w:val="0"/>
          <w:sz w:val="22"/>
          <w:szCs w:val="24"/>
          <w:lang w:val="en-US" w:eastAsia="zh-CN"/>
        </w:rPr>
        <w:t xml:space="preserve"> </w:t>
      </w:r>
      <w:r>
        <w:rPr>
          <w:rFonts w:hint="eastAsia" w:ascii="Times New Roman" w:hAnsi="Times New Roman" w:eastAsia="宋体" w:cs="Times New Roman"/>
          <w:b w:val="0"/>
          <w:bCs w:val="0"/>
          <w:sz w:val="21"/>
          <w:szCs w:val="22"/>
          <w:lang w:val="en-US" w:eastAsia="zh-CN" w:bidi="ar-SA"/>
        </w:rPr>
        <w:t>1、资金的管理情况，资金到位率：实际到位资金与预算资金的比率100%。预算执行率：项目预算资金能够按照计划执行。资金使用合规性：项目资金的使用符合国家财经法规和财务管理制度以及有关专项资金管理办法的规定；资金的拨付有完整的审批程序和手续；符合项目预算或合同规定的用途；不存在截留、挤占、挪用、虚列支出等。</w:t>
      </w:r>
    </w:p>
    <w:p>
      <w:pPr>
        <w:pStyle w:val="2"/>
        <w:keepNext w:val="0"/>
        <w:keepLines w:val="0"/>
        <w:pageBreakBefore w:val="0"/>
        <w:numPr>
          <w:ilvl w:val="0"/>
          <w:numId w:val="0"/>
        </w:numPr>
        <w:kinsoku/>
        <w:overflowPunct/>
        <w:topLinePunct w:val="0"/>
        <w:autoSpaceDE/>
        <w:autoSpaceDN/>
        <w:bidi w:val="0"/>
        <w:adjustRightInd/>
        <w:snapToGrid/>
        <w:spacing w:line="560" w:lineRule="exact"/>
        <w:ind w:firstLine="420" w:firstLineChars="200"/>
        <w:jc w:val="both"/>
        <w:textAlignment w:val="auto"/>
        <w:rPr>
          <w:rFonts w:hint="eastAsia" w:ascii="Times New Roman" w:hAnsi="Times New Roman" w:eastAsia="宋体" w:cs="Times New Roman"/>
          <w:b w:val="0"/>
          <w:bCs w:val="0"/>
          <w:sz w:val="21"/>
          <w:szCs w:val="22"/>
          <w:lang w:val="en-US" w:eastAsia="zh-CN" w:bidi="ar-SA"/>
        </w:rPr>
      </w:pPr>
      <w:r>
        <w:rPr>
          <w:rFonts w:hint="eastAsia" w:ascii="Times New Roman" w:hAnsi="Times New Roman" w:eastAsia="宋体" w:cs="Times New Roman"/>
          <w:b w:val="0"/>
          <w:bCs w:val="0"/>
          <w:sz w:val="21"/>
          <w:szCs w:val="22"/>
          <w:lang w:val="en-US" w:eastAsia="zh-CN" w:bidi="ar-SA"/>
        </w:rPr>
        <w:t>2、项目组织实施情况，管理制度健全性：本项目实施单位按照区财政局相关内控制度财务和业务管理制度，合法、合规、完整执行。制度执行有效性：项目实施符合相关管理规定；遵守相关法律法规和相关管理规定；项目调整及支出调整手续完备；项目合同书等齐全并及时归档；项目实施的人员条件、场地设备、信息支撑等落实到位。</w:t>
      </w:r>
    </w:p>
    <w:p>
      <w:pPr>
        <w:numPr>
          <w:ilvl w:val="0"/>
          <w:numId w:val="2"/>
        </w:numPr>
        <w:spacing w:line="600" w:lineRule="exact"/>
        <w:ind w:left="0" w:leftChars="0" w:firstLine="440" w:firstLineChars="200"/>
        <w:outlineLvl w:val="0"/>
        <w:rPr>
          <w:rFonts w:hint="eastAsia" w:ascii="宋体" w:hAnsi="宋体" w:eastAsia="宋体" w:cs="宋体"/>
          <w:color w:val="000000"/>
          <w:kern w:val="0"/>
          <w:sz w:val="22"/>
          <w:szCs w:val="24"/>
        </w:rPr>
      </w:pPr>
      <w:r>
        <w:rPr>
          <w:rFonts w:hint="eastAsia" w:ascii="宋体" w:hAnsi="宋体" w:eastAsia="宋体" w:cs="宋体"/>
          <w:color w:val="000000"/>
          <w:kern w:val="0"/>
          <w:sz w:val="22"/>
          <w:szCs w:val="24"/>
        </w:rPr>
        <w:t>项目产出情况。</w:t>
      </w:r>
    </w:p>
    <w:p>
      <w:pPr>
        <w:pStyle w:val="3"/>
        <w:keepNext w:val="0"/>
        <w:keepLines w:val="0"/>
        <w:pageBreakBefore w:val="0"/>
        <w:kinsoku/>
        <w:overflowPunct/>
        <w:topLinePunct w:val="0"/>
        <w:autoSpaceDE/>
        <w:autoSpaceDN/>
        <w:bidi w:val="0"/>
        <w:adjustRightInd/>
        <w:snapToGrid/>
        <w:spacing w:line="560" w:lineRule="exact"/>
        <w:ind w:firstLine="420" w:firstLineChars="200"/>
        <w:textAlignment w:val="auto"/>
        <w:rPr>
          <w:rFonts w:hint="eastAsia"/>
        </w:rPr>
      </w:pPr>
      <w:r>
        <w:rPr>
          <w:rFonts w:hint="eastAsia"/>
        </w:rPr>
        <w:t>1.产出数量：</w:t>
      </w:r>
      <w:r>
        <w:rPr>
          <w:rFonts w:hint="eastAsia"/>
          <w:lang w:eastAsia="zh-CN"/>
        </w:rPr>
        <w:t>目前</w:t>
      </w:r>
      <w:r>
        <w:rPr>
          <w:rFonts w:hint="eastAsia"/>
          <w:lang w:val="en-US" w:eastAsia="zh-CN"/>
        </w:rPr>
        <w:t>170人批次已到期且不再续签，150人批次、120人批次</w:t>
      </w:r>
      <w:r>
        <w:rPr>
          <w:rFonts w:hint="eastAsia"/>
          <w:lang w:eastAsia="zh-CN"/>
        </w:rPr>
        <w:t>有序推进中，</w:t>
      </w:r>
      <w:r>
        <w:rPr>
          <w:rFonts w:hint="eastAsia"/>
          <w:lang w:val="en-US" w:eastAsia="zh-CN"/>
        </w:rPr>
        <w:t>2024年度预收批复</w:t>
      </w:r>
      <w:r>
        <w:rPr>
          <w:rFonts w:hint="eastAsia" w:ascii="宋体" w:hAnsi="宋体" w:eastAsia="宋体" w:cs="宋体"/>
          <w:kern w:val="0"/>
          <w:sz w:val="18"/>
          <w:szCs w:val="18"/>
          <w:lang w:val="en-US" w:eastAsia="zh-CN"/>
        </w:rPr>
        <w:t>3525</w:t>
      </w:r>
      <w:r>
        <w:rPr>
          <w:rFonts w:hint="eastAsia"/>
          <w:lang w:val="en-US" w:eastAsia="zh-CN"/>
        </w:rPr>
        <w:t>万元，</w:t>
      </w:r>
      <w:r>
        <w:rPr>
          <w:rFonts w:hint="eastAsia"/>
          <w:lang w:eastAsia="zh-CN"/>
        </w:rPr>
        <w:t>执行情况良好。</w:t>
      </w:r>
    </w:p>
    <w:p>
      <w:pPr>
        <w:pStyle w:val="3"/>
        <w:keepNext w:val="0"/>
        <w:keepLines w:val="0"/>
        <w:pageBreakBefore w:val="0"/>
        <w:kinsoku/>
        <w:overflowPunct/>
        <w:topLinePunct w:val="0"/>
        <w:autoSpaceDE/>
        <w:autoSpaceDN/>
        <w:bidi w:val="0"/>
        <w:adjustRightInd/>
        <w:snapToGrid/>
        <w:spacing w:line="560" w:lineRule="exact"/>
        <w:ind w:firstLine="420" w:firstLineChars="200"/>
        <w:textAlignment w:val="auto"/>
        <w:rPr>
          <w:rFonts w:hint="eastAsia"/>
        </w:rPr>
      </w:pPr>
      <w:r>
        <w:rPr>
          <w:rFonts w:hint="eastAsia"/>
        </w:rPr>
        <w:t>2.产出质量：按照“区招区管、队训对认”的要求做好招录工作。</w:t>
      </w:r>
    </w:p>
    <w:p>
      <w:pPr>
        <w:pStyle w:val="3"/>
        <w:keepNext w:val="0"/>
        <w:keepLines w:val="0"/>
        <w:pageBreakBefore w:val="0"/>
        <w:kinsoku/>
        <w:overflowPunct/>
        <w:topLinePunct w:val="0"/>
        <w:autoSpaceDE/>
        <w:autoSpaceDN/>
        <w:bidi w:val="0"/>
        <w:adjustRightInd/>
        <w:snapToGrid/>
        <w:spacing w:line="560" w:lineRule="exact"/>
        <w:ind w:firstLine="420" w:firstLineChars="200"/>
        <w:textAlignment w:val="auto"/>
        <w:rPr>
          <w:rFonts w:hint="eastAsia" w:ascii="宋体" w:hAnsi="宋体" w:eastAsia="宋体" w:cs="宋体"/>
          <w:color w:val="000000"/>
          <w:kern w:val="0"/>
          <w:sz w:val="22"/>
          <w:szCs w:val="24"/>
        </w:rPr>
      </w:pPr>
      <w:r>
        <w:rPr>
          <w:rFonts w:hint="eastAsia"/>
        </w:rPr>
        <w:t>3.产出时效：</w:t>
      </w:r>
      <w:r>
        <w:rPr>
          <w:rFonts w:hint="eastAsia"/>
          <w:lang w:eastAsia="zh-CN"/>
        </w:rPr>
        <w:t>按照</w:t>
      </w:r>
      <w:r>
        <w:rPr>
          <w:rFonts w:hint="eastAsia"/>
          <w:lang w:val="en-US" w:eastAsia="zh-CN"/>
        </w:rPr>
        <w:t>停车协管员工资按时发放。</w:t>
      </w:r>
    </w:p>
    <w:p>
      <w:pPr>
        <w:spacing w:line="600" w:lineRule="exact"/>
        <w:ind w:firstLine="440" w:firstLineChars="200"/>
        <w:outlineLvl w:val="0"/>
        <w:rPr>
          <w:rFonts w:hint="eastAsia" w:ascii="宋体" w:hAnsi="宋体" w:eastAsia="宋体" w:cs="宋体"/>
          <w:color w:val="000000"/>
          <w:kern w:val="0"/>
          <w:sz w:val="22"/>
          <w:szCs w:val="24"/>
        </w:rPr>
      </w:pPr>
      <w:r>
        <w:rPr>
          <w:rFonts w:hint="eastAsia" w:ascii="宋体" w:hAnsi="宋体" w:eastAsia="宋体" w:cs="宋体"/>
          <w:color w:val="000000"/>
          <w:kern w:val="0"/>
          <w:sz w:val="22"/>
          <w:szCs w:val="24"/>
        </w:rPr>
        <w:t>（四）项目效益情况。</w:t>
      </w:r>
    </w:p>
    <w:p>
      <w:pPr>
        <w:spacing w:line="600" w:lineRule="exact"/>
        <w:ind w:firstLine="420" w:firstLineChars="200"/>
        <w:outlineLvl w:val="0"/>
        <w:rPr>
          <w:rFonts w:hint="eastAsia" w:ascii="宋体" w:hAnsi="宋体" w:eastAsia="宋体" w:cs="宋体"/>
          <w:color w:val="000000"/>
          <w:kern w:val="0"/>
          <w:sz w:val="22"/>
          <w:szCs w:val="24"/>
        </w:rPr>
      </w:pPr>
      <w:r>
        <w:rPr>
          <w:rFonts w:hint="eastAsia"/>
        </w:rPr>
        <w:t>落实组建停车协管员队伍、加强停车管理力量。能够及时、有力的处置各类突发情况，做好停车治理工作，确保城市运行安全。确保把人民群众生命、财产损失降低到最低，努力提高我区停车管理能力和服务水平，优化西城区静态交通秩序和环境。</w:t>
      </w:r>
    </w:p>
    <w:p>
      <w:pPr>
        <w:numPr>
          <w:ilvl w:val="0"/>
          <w:numId w:val="3"/>
        </w:numPr>
        <w:spacing w:line="600" w:lineRule="exact"/>
        <w:ind w:firstLine="442" w:firstLineChars="200"/>
        <w:rPr>
          <w:rFonts w:hint="eastAsia" w:ascii="宋体" w:hAnsi="宋体" w:eastAsia="宋体" w:cs="宋体"/>
          <w:b/>
          <w:color w:val="000000"/>
          <w:kern w:val="0"/>
          <w:sz w:val="22"/>
          <w:szCs w:val="24"/>
        </w:rPr>
      </w:pPr>
      <w:r>
        <w:rPr>
          <w:rFonts w:hint="eastAsia" w:ascii="宋体" w:hAnsi="宋体" w:eastAsia="宋体" w:cs="宋体"/>
          <w:b/>
          <w:color w:val="000000"/>
          <w:kern w:val="0"/>
          <w:sz w:val="22"/>
          <w:szCs w:val="24"/>
        </w:rPr>
        <w:t>主要经验及做法、存在的问题及原因分析</w:t>
      </w:r>
    </w:p>
    <w:p>
      <w:pPr>
        <w:pStyle w:val="2"/>
        <w:keepNext w:val="0"/>
        <w:keepLines w:val="0"/>
        <w:pageBreakBefore w:val="0"/>
        <w:numPr>
          <w:ilvl w:val="0"/>
          <w:numId w:val="0"/>
        </w:numPr>
        <w:kinsoku/>
        <w:overflowPunct/>
        <w:topLinePunct w:val="0"/>
        <w:autoSpaceDE/>
        <w:autoSpaceDN/>
        <w:bidi w:val="0"/>
        <w:adjustRightInd/>
        <w:snapToGrid/>
        <w:spacing w:line="560" w:lineRule="exact"/>
        <w:ind w:firstLine="420" w:firstLineChars="200"/>
        <w:jc w:val="both"/>
        <w:textAlignment w:val="auto"/>
        <w:rPr>
          <w:rFonts w:hint="eastAsia" w:ascii="Times New Roman" w:hAnsi="Times New Roman" w:eastAsia="宋体" w:cs="Times New Roman"/>
          <w:b w:val="0"/>
          <w:bCs w:val="0"/>
          <w:sz w:val="21"/>
          <w:szCs w:val="22"/>
          <w:lang w:val="en-US" w:eastAsia="zh-CN" w:bidi="ar-SA"/>
        </w:rPr>
      </w:pPr>
      <w:r>
        <w:rPr>
          <w:rFonts w:hint="eastAsia" w:ascii="Times New Roman" w:hAnsi="Times New Roman" w:eastAsia="宋体" w:cs="Times New Roman"/>
          <w:b w:val="0"/>
          <w:bCs w:val="0"/>
          <w:sz w:val="21"/>
          <w:szCs w:val="22"/>
          <w:lang w:val="en-US" w:eastAsia="zh-CN" w:bidi="ar-SA"/>
        </w:rPr>
        <w:t>在项目预算决策、项目管理、项目绩效方面，存在的可以推广、借鉴的有效经验，如针对区属停车协管员存在合理可行的管理、考核办法等，如顺利完成各项重大活动、节假日、重要会议等服务保障工作，落实各项任务要求等，通过以上经验的积累能够及时、有力的处置各类突发情况，做好停车治理工作，确保城市运行安全。</w:t>
      </w:r>
    </w:p>
    <w:p>
      <w:pPr>
        <w:numPr>
          <w:ilvl w:val="0"/>
          <w:numId w:val="3"/>
        </w:numPr>
        <w:spacing w:line="600" w:lineRule="exact"/>
        <w:ind w:left="0" w:leftChars="0" w:firstLine="442" w:firstLineChars="200"/>
        <w:rPr>
          <w:rFonts w:hint="eastAsia" w:ascii="宋体" w:hAnsi="宋体" w:eastAsia="宋体" w:cs="宋体"/>
          <w:b/>
          <w:color w:val="000000"/>
          <w:kern w:val="0"/>
          <w:sz w:val="22"/>
          <w:szCs w:val="24"/>
        </w:rPr>
      </w:pPr>
      <w:r>
        <w:rPr>
          <w:rFonts w:hint="eastAsia" w:ascii="宋体" w:hAnsi="宋体" w:eastAsia="宋体" w:cs="宋体"/>
          <w:b/>
          <w:color w:val="000000"/>
          <w:kern w:val="0"/>
          <w:sz w:val="22"/>
          <w:szCs w:val="24"/>
        </w:rPr>
        <w:t>有关建议</w:t>
      </w:r>
    </w:p>
    <w:p>
      <w:pPr>
        <w:numPr>
          <w:ilvl w:val="0"/>
          <w:numId w:val="0"/>
        </w:numPr>
        <w:spacing w:line="600" w:lineRule="exact"/>
        <w:ind w:leftChars="200"/>
        <w:rPr>
          <w:rFonts w:hint="eastAsia" w:ascii="宋体" w:hAnsi="宋体" w:eastAsia="宋体" w:cs="宋体"/>
          <w:b/>
          <w:color w:val="000000"/>
          <w:kern w:val="0"/>
          <w:sz w:val="22"/>
          <w:szCs w:val="24"/>
          <w:lang w:eastAsia="zh-CN"/>
        </w:rPr>
      </w:pPr>
      <w:r>
        <w:rPr>
          <w:rFonts w:hint="eastAsia" w:ascii="宋体" w:hAnsi="宋体" w:eastAsia="宋体" w:cs="宋体"/>
          <w:b/>
          <w:color w:val="000000"/>
          <w:kern w:val="0"/>
          <w:sz w:val="22"/>
          <w:szCs w:val="24"/>
          <w:lang w:eastAsia="zh-CN"/>
        </w:rPr>
        <w:t>无</w:t>
      </w:r>
    </w:p>
    <w:p>
      <w:pPr>
        <w:numPr>
          <w:ilvl w:val="0"/>
          <w:numId w:val="3"/>
        </w:numPr>
        <w:spacing w:line="600" w:lineRule="exact"/>
        <w:ind w:left="0" w:leftChars="0" w:firstLine="442" w:firstLineChars="200"/>
        <w:rPr>
          <w:rFonts w:hint="eastAsia" w:ascii="宋体" w:hAnsi="宋体" w:eastAsia="宋体" w:cs="宋体"/>
          <w:b/>
          <w:color w:val="000000"/>
          <w:kern w:val="0"/>
          <w:sz w:val="22"/>
          <w:szCs w:val="24"/>
        </w:rPr>
      </w:pPr>
      <w:r>
        <w:rPr>
          <w:rFonts w:hint="eastAsia" w:ascii="宋体" w:hAnsi="宋体" w:eastAsia="宋体" w:cs="宋体"/>
          <w:b/>
          <w:color w:val="000000"/>
          <w:kern w:val="0"/>
          <w:sz w:val="22"/>
          <w:szCs w:val="24"/>
        </w:rPr>
        <w:t>其他需要说明的问题</w:t>
      </w:r>
    </w:p>
    <w:p>
      <w:pPr>
        <w:numPr>
          <w:ilvl w:val="0"/>
          <w:numId w:val="0"/>
        </w:numPr>
        <w:spacing w:line="600" w:lineRule="exact"/>
        <w:ind w:leftChars="200"/>
        <w:rPr>
          <w:rFonts w:hint="eastAsia" w:ascii="宋体" w:hAnsi="宋体" w:eastAsia="宋体" w:cs="宋体"/>
          <w:b/>
          <w:color w:val="000000"/>
          <w:kern w:val="0"/>
          <w:sz w:val="22"/>
          <w:szCs w:val="24"/>
          <w:lang w:eastAsia="zh-CN"/>
        </w:rPr>
      </w:pPr>
      <w:r>
        <w:rPr>
          <w:rFonts w:hint="eastAsia" w:ascii="宋体" w:hAnsi="宋体" w:eastAsia="宋体" w:cs="宋体"/>
          <w:b/>
          <w:color w:val="000000"/>
          <w:kern w:val="0"/>
          <w:sz w:val="22"/>
          <w:szCs w:val="24"/>
          <w:lang w:eastAsia="zh-CN"/>
        </w:rPr>
        <w:t>无</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3</w:t>
    </w:r>
    <w:r>
      <w:rPr>
        <w:rFonts w:ascii="宋体" w:hAnsi="宋体"/>
        <w:sz w:val="28"/>
        <w:szCs w:val="28"/>
      </w:rPr>
      <w:fldChar w:fldCharType="end"/>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84E4EC"/>
    <w:multiLevelType w:val="singleLevel"/>
    <w:tmpl w:val="1884E4EC"/>
    <w:lvl w:ilvl="0" w:tentative="0">
      <w:start w:val="2"/>
      <w:numFmt w:val="chineseCounting"/>
      <w:suff w:val="nothing"/>
      <w:lvlText w:val="（%1）"/>
      <w:lvlJc w:val="left"/>
      <w:rPr>
        <w:rFonts w:hint="eastAsia"/>
      </w:rPr>
    </w:lvl>
  </w:abstractNum>
  <w:abstractNum w:abstractNumId="1">
    <w:nsid w:val="1BC32638"/>
    <w:multiLevelType w:val="singleLevel"/>
    <w:tmpl w:val="1BC32638"/>
    <w:lvl w:ilvl="0" w:tentative="0">
      <w:start w:val="2"/>
      <w:numFmt w:val="chineseCounting"/>
      <w:suff w:val="nothing"/>
      <w:lvlText w:val="（%1）"/>
      <w:lvlJc w:val="left"/>
      <w:rPr>
        <w:rFonts w:hint="eastAsia"/>
      </w:rPr>
    </w:lvl>
  </w:abstractNum>
  <w:abstractNum w:abstractNumId="2">
    <w:nsid w:val="3380885F"/>
    <w:multiLevelType w:val="singleLevel"/>
    <w:tmpl w:val="3380885F"/>
    <w:lvl w:ilvl="0" w:tentative="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xNzcwNjY2ZjI3OTk0Y2M4M2Q2NzAxZjBhMmNlMzgifQ=="/>
  </w:docVars>
  <w:rsids>
    <w:rsidRoot w:val="00104928"/>
    <w:rsid w:val="000002ED"/>
    <w:rsid w:val="0000126F"/>
    <w:rsid w:val="00001663"/>
    <w:rsid w:val="00001D0E"/>
    <w:rsid w:val="00002014"/>
    <w:rsid w:val="0000254F"/>
    <w:rsid w:val="000031E8"/>
    <w:rsid w:val="00003A66"/>
    <w:rsid w:val="000068BA"/>
    <w:rsid w:val="00010A58"/>
    <w:rsid w:val="00012026"/>
    <w:rsid w:val="00012F35"/>
    <w:rsid w:val="00014B6B"/>
    <w:rsid w:val="00014B6D"/>
    <w:rsid w:val="000150FD"/>
    <w:rsid w:val="0001620F"/>
    <w:rsid w:val="000172F5"/>
    <w:rsid w:val="00017E9C"/>
    <w:rsid w:val="000210F6"/>
    <w:rsid w:val="00021114"/>
    <w:rsid w:val="000212F6"/>
    <w:rsid w:val="0002142B"/>
    <w:rsid w:val="00022D7F"/>
    <w:rsid w:val="00023EA3"/>
    <w:rsid w:val="00025D80"/>
    <w:rsid w:val="00025F61"/>
    <w:rsid w:val="00026AEE"/>
    <w:rsid w:val="00026B54"/>
    <w:rsid w:val="00026E17"/>
    <w:rsid w:val="000273DD"/>
    <w:rsid w:val="000279FA"/>
    <w:rsid w:val="00027BCA"/>
    <w:rsid w:val="00030636"/>
    <w:rsid w:val="0003101D"/>
    <w:rsid w:val="00032626"/>
    <w:rsid w:val="0003572B"/>
    <w:rsid w:val="00037542"/>
    <w:rsid w:val="00037B6F"/>
    <w:rsid w:val="0004024F"/>
    <w:rsid w:val="0004034C"/>
    <w:rsid w:val="00041B19"/>
    <w:rsid w:val="0004256C"/>
    <w:rsid w:val="00042EB3"/>
    <w:rsid w:val="00043925"/>
    <w:rsid w:val="000452BB"/>
    <w:rsid w:val="00051339"/>
    <w:rsid w:val="0005198F"/>
    <w:rsid w:val="00051EE8"/>
    <w:rsid w:val="00054410"/>
    <w:rsid w:val="00054D87"/>
    <w:rsid w:val="000555C9"/>
    <w:rsid w:val="00055994"/>
    <w:rsid w:val="00057285"/>
    <w:rsid w:val="0006024E"/>
    <w:rsid w:val="00061BC4"/>
    <w:rsid w:val="00063447"/>
    <w:rsid w:val="00064E08"/>
    <w:rsid w:val="00065A83"/>
    <w:rsid w:val="0007001B"/>
    <w:rsid w:val="0007031F"/>
    <w:rsid w:val="00070A29"/>
    <w:rsid w:val="00072CA3"/>
    <w:rsid w:val="0007383F"/>
    <w:rsid w:val="00075A2D"/>
    <w:rsid w:val="00077E17"/>
    <w:rsid w:val="00080311"/>
    <w:rsid w:val="00080352"/>
    <w:rsid w:val="00081B5B"/>
    <w:rsid w:val="0008288E"/>
    <w:rsid w:val="00084087"/>
    <w:rsid w:val="00084E5D"/>
    <w:rsid w:val="00085921"/>
    <w:rsid w:val="00085AA1"/>
    <w:rsid w:val="0008798C"/>
    <w:rsid w:val="00087D15"/>
    <w:rsid w:val="00091206"/>
    <w:rsid w:val="00093B96"/>
    <w:rsid w:val="00095A71"/>
    <w:rsid w:val="000A0263"/>
    <w:rsid w:val="000A0A54"/>
    <w:rsid w:val="000A22E3"/>
    <w:rsid w:val="000A2A8D"/>
    <w:rsid w:val="000A64F0"/>
    <w:rsid w:val="000B030D"/>
    <w:rsid w:val="000B147D"/>
    <w:rsid w:val="000B17CF"/>
    <w:rsid w:val="000B2D0B"/>
    <w:rsid w:val="000B2EA4"/>
    <w:rsid w:val="000B3711"/>
    <w:rsid w:val="000B4769"/>
    <w:rsid w:val="000B5066"/>
    <w:rsid w:val="000B741C"/>
    <w:rsid w:val="000C00A9"/>
    <w:rsid w:val="000C0E21"/>
    <w:rsid w:val="000C395F"/>
    <w:rsid w:val="000C495F"/>
    <w:rsid w:val="000C5E07"/>
    <w:rsid w:val="000D0B2A"/>
    <w:rsid w:val="000D5E4B"/>
    <w:rsid w:val="000D66D8"/>
    <w:rsid w:val="000D6D70"/>
    <w:rsid w:val="000D77C9"/>
    <w:rsid w:val="000E04DB"/>
    <w:rsid w:val="000E08C3"/>
    <w:rsid w:val="000E2B56"/>
    <w:rsid w:val="000E2CB7"/>
    <w:rsid w:val="000E3F05"/>
    <w:rsid w:val="000E5FF5"/>
    <w:rsid w:val="000E786D"/>
    <w:rsid w:val="000F1042"/>
    <w:rsid w:val="000F131B"/>
    <w:rsid w:val="000F54DB"/>
    <w:rsid w:val="00101FFE"/>
    <w:rsid w:val="00103A90"/>
    <w:rsid w:val="00104928"/>
    <w:rsid w:val="00104BFC"/>
    <w:rsid w:val="00104CCD"/>
    <w:rsid w:val="00105C64"/>
    <w:rsid w:val="00106556"/>
    <w:rsid w:val="00106AF6"/>
    <w:rsid w:val="00107A8D"/>
    <w:rsid w:val="00107C70"/>
    <w:rsid w:val="001113F4"/>
    <w:rsid w:val="001116D1"/>
    <w:rsid w:val="001123D1"/>
    <w:rsid w:val="00113374"/>
    <w:rsid w:val="00113CEB"/>
    <w:rsid w:val="0011570E"/>
    <w:rsid w:val="00115D5B"/>
    <w:rsid w:val="001166B1"/>
    <w:rsid w:val="001169C1"/>
    <w:rsid w:val="001176E3"/>
    <w:rsid w:val="00117776"/>
    <w:rsid w:val="00120F94"/>
    <w:rsid w:val="00121A22"/>
    <w:rsid w:val="00122704"/>
    <w:rsid w:val="00123CCA"/>
    <w:rsid w:val="00124186"/>
    <w:rsid w:val="001247D1"/>
    <w:rsid w:val="001260AB"/>
    <w:rsid w:val="00126A9B"/>
    <w:rsid w:val="00126DEF"/>
    <w:rsid w:val="00130544"/>
    <w:rsid w:val="0013659E"/>
    <w:rsid w:val="00140808"/>
    <w:rsid w:val="0014153C"/>
    <w:rsid w:val="001415E1"/>
    <w:rsid w:val="001426DD"/>
    <w:rsid w:val="00142745"/>
    <w:rsid w:val="00143431"/>
    <w:rsid w:val="00143432"/>
    <w:rsid w:val="00145C45"/>
    <w:rsid w:val="00150F33"/>
    <w:rsid w:val="00151812"/>
    <w:rsid w:val="0015212C"/>
    <w:rsid w:val="00153674"/>
    <w:rsid w:val="00155144"/>
    <w:rsid w:val="00156CDA"/>
    <w:rsid w:val="00157A26"/>
    <w:rsid w:val="001611FF"/>
    <w:rsid w:val="00167B73"/>
    <w:rsid w:val="00171175"/>
    <w:rsid w:val="00173400"/>
    <w:rsid w:val="00173922"/>
    <w:rsid w:val="00176E93"/>
    <w:rsid w:val="00177803"/>
    <w:rsid w:val="0018057E"/>
    <w:rsid w:val="0018146E"/>
    <w:rsid w:val="00181629"/>
    <w:rsid w:val="00181C33"/>
    <w:rsid w:val="00186309"/>
    <w:rsid w:val="001868F8"/>
    <w:rsid w:val="00186F89"/>
    <w:rsid w:val="00190AC5"/>
    <w:rsid w:val="0019193D"/>
    <w:rsid w:val="00193204"/>
    <w:rsid w:val="00193E9F"/>
    <w:rsid w:val="00195DCE"/>
    <w:rsid w:val="001969CD"/>
    <w:rsid w:val="0019725A"/>
    <w:rsid w:val="001A15BF"/>
    <w:rsid w:val="001A16FB"/>
    <w:rsid w:val="001A2B6B"/>
    <w:rsid w:val="001A31B7"/>
    <w:rsid w:val="001A32AE"/>
    <w:rsid w:val="001A4945"/>
    <w:rsid w:val="001A59EA"/>
    <w:rsid w:val="001A5FD5"/>
    <w:rsid w:val="001A6114"/>
    <w:rsid w:val="001A6976"/>
    <w:rsid w:val="001B0CAD"/>
    <w:rsid w:val="001B12E0"/>
    <w:rsid w:val="001B1D3A"/>
    <w:rsid w:val="001B2E05"/>
    <w:rsid w:val="001B3024"/>
    <w:rsid w:val="001B3980"/>
    <w:rsid w:val="001B6DF2"/>
    <w:rsid w:val="001C21F0"/>
    <w:rsid w:val="001C37D4"/>
    <w:rsid w:val="001C420C"/>
    <w:rsid w:val="001D0428"/>
    <w:rsid w:val="001D09E1"/>
    <w:rsid w:val="001D1473"/>
    <w:rsid w:val="001D2F1C"/>
    <w:rsid w:val="001D5176"/>
    <w:rsid w:val="001D6204"/>
    <w:rsid w:val="001D665A"/>
    <w:rsid w:val="001D6CFB"/>
    <w:rsid w:val="001D76DF"/>
    <w:rsid w:val="001D7928"/>
    <w:rsid w:val="001E4C81"/>
    <w:rsid w:val="001E4ECF"/>
    <w:rsid w:val="001E5C0D"/>
    <w:rsid w:val="001E75E9"/>
    <w:rsid w:val="001E7C1B"/>
    <w:rsid w:val="001F05C0"/>
    <w:rsid w:val="001F31CB"/>
    <w:rsid w:val="001F5BA3"/>
    <w:rsid w:val="001F5FB5"/>
    <w:rsid w:val="001F672C"/>
    <w:rsid w:val="002025E4"/>
    <w:rsid w:val="002035A1"/>
    <w:rsid w:val="00204158"/>
    <w:rsid w:val="0020514B"/>
    <w:rsid w:val="00205364"/>
    <w:rsid w:val="002054CA"/>
    <w:rsid w:val="00206CDB"/>
    <w:rsid w:val="0021692A"/>
    <w:rsid w:val="00217437"/>
    <w:rsid w:val="0022084B"/>
    <w:rsid w:val="00222ECC"/>
    <w:rsid w:val="002248A2"/>
    <w:rsid w:val="0022592D"/>
    <w:rsid w:val="00227ABF"/>
    <w:rsid w:val="002310B8"/>
    <w:rsid w:val="00234606"/>
    <w:rsid w:val="00234D88"/>
    <w:rsid w:val="002364C6"/>
    <w:rsid w:val="00237372"/>
    <w:rsid w:val="00240D36"/>
    <w:rsid w:val="002429E1"/>
    <w:rsid w:val="002461D1"/>
    <w:rsid w:val="00250622"/>
    <w:rsid w:val="00251BFA"/>
    <w:rsid w:val="00251E9A"/>
    <w:rsid w:val="00251FC5"/>
    <w:rsid w:val="00252A4D"/>
    <w:rsid w:val="0025658E"/>
    <w:rsid w:val="00256D9B"/>
    <w:rsid w:val="00261FD1"/>
    <w:rsid w:val="00262414"/>
    <w:rsid w:val="00263A48"/>
    <w:rsid w:val="00266609"/>
    <w:rsid w:val="00267503"/>
    <w:rsid w:val="00267A31"/>
    <w:rsid w:val="002718BA"/>
    <w:rsid w:val="00271B52"/>
    <w:rsid w:val="00271EB1"/>
    <w:rsid w:val="00272F27"/>
    <w:rsid w:val="00273F1E"/>
    <w:rsid w:val="0027612A"/>
    <w:rsid w:val="00276851"/>
    <w:rsid w:val="00277DCF"/>
    <w:rsid w:val="00282039"/>
    <w:rsid w:val="00284AE2"/>
    <w:rsid w:val="0028694E"/>
    <w:rsid w:val="00286B21"/>
    <w:rsid w:val="002870BE"/>
    <w:rsid w:val="00287203"/>
    <w:rsid w:val="002878F5"/>
    <w:rsid w:val="0029006E"/>
    <w:rsid w:val="00292A2A"/>
    <w:rsid w:val="00294F37"/>
    <w:rsid w:val="002966C9"/>
    <w:rsid w:val="0029688E"/>
    <w:rsid w:val="002A0A31"/>
    <w:rsid w:val="002A0BD3"/>
    <w:rsid w:val="002A4589"/>
    <w:rsid w:val="002A4FFC"/>
    <w:rsid w:val="002A5391"/>
    <w:rsid w:val="002A70E7"/>
    <w:rsid w:val="002B079B"/>
    <w:rsid w:val="002B2F15"/>
    <w:rsid w:val="002B3B4D"/>
    <w:rsid w:val="002B3E0C"/>
    <w:rsid w:val="002B6001"/>
    <w:rsid w:val="002B6CA0"/>
    <w:rsid w:val="002B7265"/>
    <w:rsid w:val="002B7365"/>
    <w:rsid w:val="002C17A2"/>
    <w:rsid w:val="002C1D5D"/>
    <w:rsid w:val="002C330C"/>
    <w:rsid w:val="002C5808"/>
    <w:rsid w:val="002C647E"/>
    <w:rsid w:val="002D0F5E"/>
    <w:rsid w:val="002D29A0"/>
    <w:rsid w:val="002D3138"/>
    <w:rsid w:val="002D4ED6"/>
    <w:rsid w:val="002D54A9"/>
    <w:rsid w:val="002D57D8"/>
    <w:rsid w:val="002D5922"/>
    <w:rsid w:val="002D6258"/>
    <w:rsid w:val="002D6303"/>
    <w:rsid w:val="002D6B4E"/>
    <w:rsid w:val="002D6F9B"/>
    <w:rsid w:val="002E052B"/>
    <w:rsid w:val="002E0816"/>
    <w:rsid w:val="002E15CF"/>
    <w:rsid w:val="002E580B"/>
    <w:rsid w:val="002E7892"/>
    <w:rsid w:val="002E790A"/>
    <w:rsid w:val="002F00D4"/>
    <w:rsid w:val="002F48E4"/>
    <w:rsid w:val="002F5DD8"/>
    <w:rsid w:val="002F6139"/>
    <w:rsid w:val="0030041C"/>
    <w:rsid w:val="00301CB5"/>
    <w:rsid w:val="003024BE"/>
    <w:rsid w:val="00305599"/>
    <w:rsid w:val="003060D0"/>
    <w:rsid w:val="0031050E"/>
    <w:rsid w:val="003116F6"/>
    <w:rsid w:val="00312845"/>
    <w:rsid w:val="0031568C"/>
    <w:rsid w:val="003168CF"/>
    <w:rsid w:val="00320B99"/>
    <w:rsid w:val="003212AE"/>
    <w:rsid w:val="00321523"/>
    <w:rsid w:val="00322659"/>
    <w:rsid w:val="00322820"/>
    <w:rsid w:val="00322B62"/>
    <w:rsid w:val="00322F62"/>
    <w:rsid w:val="003232F5"/>
    <w:rsid w:val="003253B8"/>
    <w:rsid w:val="003301D5"/>
    <w:rsid w:val="003306A7"/>
    <w:rsid w:val="00331969"/>
    <w:rsid w:val="003350EE"/>
    <w:rsid w:val="00337432"/>
    <w:rsid w:val="00337D74"/>
    <w:rsid w:val="00337FE5"/>
    <w:rsid w:val="00340221"/>
    <w:rsid w:val="0034042F"/>
    <w:rsid w:val="00342DED"/>
    <w:rsid w:val="0034305D"/>
    <w:rsid w:val="003439FE"/>
    <w:rsid w:val="00345095"/>
    <w:rsid w:val="003515B9"/>
    <w:rsid w:val="0035417E"/>
    <w:rsid w:val="003559A5"/>
    <w:rsid w:val="00355FD9"/>
    <w:rsid w:val="00357725"/>
    <w:rsid w:val="00357E40"/>
    <w:rsid w:val="0036030E"/>
    <w:rsid w:val="003614D9"/>
    <w:rsid w:val="0036286E"/>
    <w:rsid w:val="00362ACF"/>
    <w:rsid w:val="00364277"/>
    <w:rsid w:val="00365D35"/>
    <w:rsid w:val="00366796"/>
    <w:rsid w:val="00367315"/>
    <w:rsid w:val="0036731A"/>
    <w:rsid w:val="003675AB"/>
    <w:rsid w:val="00370A67"/>
    <w:rsid w:val="003715E9"/>
    <w:rsid w:val="003719FE"/>
    <w:rsid w:val="0037223B"/>
    <w:rsid w:val="003741B2"/>
    <w:rsid w:val="00374B72"/>
    <w:rsid w:val="00376106"/>
    <w:rsid w:val="0037636B"/>
    <w:rsid w:val="003774C5"/>
    <w:rsid w:val="00377550"/>
    <w:rsid w:val="00380517"/>
    <w:rsid w:val="003807A0"/>
    <w:rsid w:val="003844E2"/>
    <w:rsid w:val="003850EB"/>
    <w:rsid w:val="003851CD"/>
    <w:rsid w:val="00385851"/>
    <w:rsid w:val="00385BB5"/>
    <w:rsid w:val="00385BE4"/>
    <w:rsid w:val="00385E1B"/>
    <w:rsid w:val="00386793"/>
    <w:rsid w:val="00387EE4"/>
    <w:rsid w:val="003929F8"/>
    <w:rsid w:val="00393A9D"/>
    <w:rsid w:val="003950EB"/>
    <w:rsid w:val="003951F2"/>
    <w:rsid w:val="00395543"/>
    <w:rsid w:val="00396589"/>
    <w:rsid w:val="003A1695"/>
    <w:rsid w:val="003A29CE"/>
    <w:rsid w:val="003A60D4"/>
    <w:rsid w:val="003A793C"/>
    <w:rsid w:val="003B0263"/>
    <w:rsid w:val="003B0CE3"/>
    <w:rsid w:val="003B0E7C"/>
    <w:rsid w:val="003B107C"/>
    <w:rsid w:val="003B44E7"/>
    <w:rsid w:val="003B4E70"/>
    <w:rsid w:val="003B5C20"/>
    <w:rsid w:val="003B68BA"/>
    <w:rsid w:val="003C0413"/>
    <w:rsid w:val="003C1898"/>
    <w:rsid w:val="003C2908"/>
    <w:rsid w:val="003C4530"/>
    <w:rsid w:val="003C498C"/>
    <w:rsid w:val="003C5FF9"/>
    <w:rsid w:val="003D1F85"/>
    <w:rsid w:val="003D3738"/>
    <w:rsid w:val="003D3A9B"/>
    <w:rsid w:val="003D5999"/>
    <w:rsid w:val="003D66C4"/>
    <w:rsid w:val="003E1946"/>
    <w:rsid w:val="003E1FD2"/>
    <w:rsid w:val="003E28F5"/>
    <w:rsid w:val="003E3597"/>
    <w:rsid w:val="003E381D"/>
    <w:rsid w:val="003E4416"/>
    <w:rsid w:val="003E4880"/>
    <w:rsid w:val="003E61B2"/>
    <w:rsid w:val="003E6FA4"/>
    <w:rsid w:val="003E768A"/>
    <w:rsid w:val="003F23D1"/>
    <w:rsid w:val="003F317A"/>
    <w:rsid w:val="003F5BF5"/>
    <w:rsid w:val="003F7D0B"/>
    <w:rsid w:val="00404369"/>
    <w:rsid w:val="00406930"/>
    <w:rsid w:val="00406BFC"/>
    <w:rsid w:val="00406CC5"/>
    <w:rsid w:val="0040752B"/>
    <w:rsid w:val="00407FF7"/>
    <w:rsid w:val="00410FB8"/>
    <w:rsid w:val="004138E8"/>
    <w:rsid w:val="004155BB"/>
    <w:rsid w:val="004164E7"/>
    <w:rsid w:val="00416A3D"/>
    <w:rsid w:val="004202C3"/>
    <w:rsid w:val="00420BE0"/>
    <w:rsid w:val="00425424"/>
    <w:rsid w:val="00427E44"/>
    <w:rsid w:val="00431188"/>
    <w:rsid w:val="00432B3A"/>
    <w:rsid w:val="0043334B"/>
    <w:rsid w:val="004349C5"/>
    <w:rsid w:val="00435D50"/>
    <w:rsid w:val="00435F4B"/>
    <w:rsid w:val="004366CD"/>
    <w:rsid w:val="004368F4"/>
    <w:rsid w:val="00437F4D"/>
    <w:rsid w:val="004403E7"/>
    <w:rsid w:val="004404D3"/>
    <w:rsid w:val="00446E6B"/>
    <w:rsid w:val="004528EE"/>
    <w:rsid w:val="0045358F"/>
    <w:rsid w:val="0045362E"/>
    <w:rsid w:val="00454A87"/>
    <w:rsid w:val="004551C8"/>
    <w:rsid w:val="00455A65"/>
    <w:rsid w:val="00456C1D"/>
    <w:rsid w:val="00457030"/>
    <w:rsid w:val="004627F3"/>
    <w:rsid w:val="00462973"/>
    <w:rsid w:val="00462AC3"/>
    <w:rsid w:val="00462C6C"/>
    <w:rsid w:val="004633DC"/>
    <w:rsid w:val="00465E14"/>
    <w:rsid w:val="00467EFD"/>
    <w:rsid w:val="004716FC"/>
    <w:rsid w:val="004735B0"/>
    <w:rsid w:val="00480BCB"/>
    <w:rsid w:val="00480E8A"/>
    <w:rsid w:val="00481CE4"/>
    <w:rsid w:val="00484049"/>
    <w:rsid w:val="00485B8E"/>
    <w:rsid w:val="00485BB1"/>
    <w:rsid w:val="00485C20"/>
    <w:rsid w:val="004867A7"/>
    <w:rsid w:val="0048743B"/>
    <w:rsid w:val="004901A9"/>
    <w:rsid w:val="00490FB6"/>
    <w:rsid w:val="004915A0"/>
    <w:rsid w:val="00491644"/>
    <w:rsid w:val="00491848"/>
    <w:rsid w:val="00494BE7"/>
    <w:rsid w:val="00495626"/>
    <w:rsid w:val="00497048"/>
    <w:rsid w:val="004A088E"/>
    <w:rsid w:val="004A3A6A"/>
    <w:rsid w:val="004A5255"/>
    <w:rsid w:val="004A6093"/>
    <w:rsid w:val="004B207B"/>
    <w:rsid w:val="004B375F"/>
    <w:rsid w:val="004B3768"/>
    <w:rsid w:val="004B3A93"/>
    <w:rsid w:val="004B3D9A"/>
    <w:rsid w:val="004B764D"/>
    <w:rsid w:val="004B7684"/>
    <w:rsid w:val="004B7EFF"/>
    <w:rsid w:val="004C02F9"/>
    <w:rsid w:val="004C2EE5"/>
    <w:rsid w:val="004C415E"/>
    <w:rsid w:val="004C6A12"/>
    <w:rsid w:val="004C7708"/>
    <w:rsid w:val="004C7A01"/>
    <w:rsid w:val="004D02A0"/>
    <w:rsid w:val="004D0598"/>
    <w:rsid w:val="004D16AC"/>
    <w:rsid w:val="004D3EC9"/>
    <w:rsid w:val="004D50E4"/>
    <w:rsid w:val="004D7D52"/>
    <w:rsid w:val="004E007F"/>
    <w:rsid w:val="004E228C"/>
    <w:rsid w:val="004E27CD"/>
    <w:rsid w:val="004E28A4"/>
    <w:rsid w:val="004E4088"/>
    <w:rsid w:val="004E49E2"/>
    <w:rsid w:val="004E5B14"/>
    <w:rsid w:val="004E65C4"/>
    <w:rsid w:val="004E67BE"/>
    <w:rsid w:val="004E7E88"/>
    <w:rsid w:val="004F3E60"/>
    <w:rsid w:val="004F3EAB"/>
    <w:rsid w:val="004F4DA5"/>
    <w:rsid w:val="004F5A28"/>
    <w:rsid w:val="004F688B"/>
    <w:rsid w:val="004F689D"/>
    <w:rsid w:val="004F69B3"/>
    <w:rsid w:val="00500AE9"/>
    <w:rsid w:val="00503403"/>
    <w:rsid w:val="0050393E"/>
    <w:rsid w:val="00504C95"/>
    <w:rsid w:val="00504EA5"/>
    <w:rsid w:val="00507197"/>
    <w:rsid w:val="0050725E"/>
    <w:rsid w:val="005078D6"/>
    <w:rsid w:val="00507DB6"/>
    <w:rsid w:val="00507F4A"/>
    <w:rsid w:val="00510D99"/>
    <w:rsid w:val="00513D1B"/>
    <w:rsid w:val="005142AA"/>
    <w:rsid w:val="0051626C"/>
    <w:rsid w:val="00522C47"/>
    <w:rsid w:val="00523414"/>
    <w:rsid w:val="005242BA"/>
    <w:rsid w:val="00526A26"/>
    <w:rsid w:val="00527068"/>
    <w:rsid w:val="00527112"/>
    <w:rsid w:val="00527375"/>
    <w:rsid w:val="005276B2"/>
    <w:rsid w:val="005278E0"/>
    <w:rsid w:val="00531726"/>
    <w:rsid w:val="005400B2"/>
    <w:rsid w:val="0054085D"/>
    <w:rsid w:val="0054322A"/>
    <w:rsid w:val="00543DC8"/>
    <w:rsid w:val="00545830"/>
    <w:rsid w:val="0055232B"/>
    <w:rsid w:val="0055383E"/>
    <w:rsid w:val="005538E7"/>
    <w:rsid w:val="005562C3"/>
    <w:rsid w:val="00556F50"/>
    <w:rsid w:val="00557AB6"/>
    <w:rsid w:val="00557EBF"/>
    <w:rsid w:val="00560C92"/>
    <w:rsid w:val="00562A7B"/>
    <w:rsid w:val="00562A8B"/>
    <w:rsid w:val="00566644"/>
    <w:rsid w:val="0056755E"/>
    <w:rsid w:val="0057019F"/>
    <w:rsid w:val="00570893"/>
    <w:rsid w:val="0057360D"/>
    <w:rsid w:val="00574D33"/>
    <w:rsid w:val="00575B77"/>
    <w:rsid w:val="00576A45"/>
    <w:rsid w:val="0057724F"/>
    <w:rsid w:val="00580457"/>
    <w:rsid w:val="00580B29"/>
    <w:rsid w:val="00581195"/>
    <w:rsid w:val="005822F3"/>
    <w:rsid w:val="00590143"/>
    <w:rsid w:val="005932C4"/>
    <w:rsid w:val="0059402A"/>
    <w:rsid w:val="0059526F"/>
    <w:rsid w:val="00597689"/>
    <w:rsid w:val="005A2ABF"/>
    <w:rsid w:val="005A3432"/>
    <w:rsid w:val="005A5693"/>
    <w:rsid w:val="005A5861"/>
    <w:rsid w:val="005A7D91"/>
    <w:rsid w:val="005B15E9"/>
    <w:rsid w:val="005B1EDC"/>
    <w:rsid w:val="005B23B3"/>
    <w:rsid w:val="005B2587"/>
    <w:rsid w:val="005B282E"/>
    <w:rsid w:val="005B2B49"/>
    <w:rsid w:val="005B31F0"/>
    <w:rsid w:val="005B39EA"/>
    <w:rsid w:val="005B4768"/>
    <w:rsid w:val="005B7C66"/>
    <w:rsid w:val="005C28E6"/>
    <w:rsid w:val="005C3F09"/>
    <w:rsid w:val="005C4A93"/>
    <w:rsid w:val="005C6846"/>
    <w:rsid w:val="005C6E09"/>
    <w:rsid w:val="005C73CB"/>
    <w:rsid w:val="005D1273"/>
    <w:rsid w:val="005D1F2C"/>
    <w:rsid w:val="005D6F37"/>
    <w:rsid w:val="005D7F4D"/>
    <w:rsid w:val="005E0744"/>
    <w:rsid w:val="005E25B5"/>
    <w:rsid w:val="005E3787"/>
    <w:rsid w:val="005E4ECF"/>
    <w:rsid w:val="005E5246"/>
    <w:rsid w:val="005E6A5A"/>
    <w:rsid w:val="005F0FEC"/>
    <w:rsid w:val="005F348F"/>
    <w:rsid w:val="005F3FE7"/>
    <w:rsid w:val="005F742B"/>
    <w:rsid w:val="0060351A"/>
    <w:rsid w:val="00603ED5"/>
    <w:rsid w:val="00604EAC"/>
    <w:rsid w:val="00606529"/>
    <w:rsid w:val="00611B0D"/>
    <w:rsid w:val="00612782"/>
    <w:rsid w:val="00613361"/>
    <w:rsid w:val="006178C0"/>
    <w:rsid w:val="00617A4D"/>
    <w:rsid w:val="00620FA5"/>
    <w:rsid w:val="00622B3D"/>
    <w:rsid w:val="00624D8C"/>
    <w:rsid w:val="00625E6B"/>
    <w:rsid w:val="0062668E"/>
    <w:rsid w:val="00627E25"/>
    <w:rsid w:val="00633732"/>
    <w:rsid w:val="00633A82"/>
    <w:rsid w:val="00635DA8"/>
    <w:rsid w:val="0064057D"/>
    <w:rsid w:val="00640ADF"/>
    <w:rsid w:val="00640D40"/>
    <w:rsid w:val="00645603"/>
    <w:rsid w:val="006510A0"/>
    <w:rsid w:val="00652B35"/>
    <w:rsid w:val="006568D4"/>
    <w:rsid w:val="00660CC5"/>
    <w:rsid w:val="00661500"/>
    <w:rsid w:val="00661B9D"/>
    <w:rsid w:val="006621F8"/>
    <w:rsid w:val="00662AD3"/>
    <w:rsid w:val="006630CE"/>
    <w:rsid w:val="0066362E"/>
    <w:rsid w:val="00664E25"/>
    <w:rsid w:val="00664F08"/>
    <w:rsid w:val="006652DD"/>
    <w:rsid w:val="00665C7D"/>
    <w:rsid w:val="00666071"/>
    <w:rsid w:val="006660C8"/>
    <w:rsid w:val="006703EF"/>
    <w:rsid w:val="00671780"/>
    <w:rsid w:val="006724C7"/>
    <w:rsid w:val="00672968"/>
    <w:rsid w:val="00673AED"/>
    <w:rsid w:val="00675200"/>
    <w:rsid w:val="006758B8"/>
    <w:rsid w:val="006758CE"/>
    <w:rsid w:val="00675923"/>
    <w:rsid w:val="00684A17"/>
    <w:rsid w:val="006914C4"/>
    <w:rsid w:val="00692F38"/>
    <w:rsid w:val="00692F45"/>
    <w:rsid w:val="00693428"/>
    <w:rsid w:val="00694EED"/>
    <w:rsid w:val="006A0033"/>
    <w:rsid w:val="006A02E3"/>
    <w:rsid w:val="006A2B6C"/>
    <w:rsid w:val="006A728E"/>
    <w:rsid w:val="006A72AE"/>
    <w:rsid w:val="006B07D9"/>
    <w:rsid w:val="006B0F0D"/>
    <w:rsid w:val="006B28B6"/>
    <w:rsid w:val="006B32D1"/>
    <w:rsid w:val="006B404E"/>
    <w:rsid w:val="006B52D8"/>
    <w:rsid w:val="006B7D2F"/>
    <w:rsid w:val="006C03C7"/>
    <w:rsid w:val="006C05FF"/>
    <w:rsid w:val="006C0CCA"/>
    <w:rsid w:val="006C11FC"/>
    <w:rsid w:val="006C2112"/>
    <w:rsid w:val="006C4CD2"/>
    <w:rsid w:val="006C670A"/>
    <w:rsid w:val="006D0F4E"/>
    <w:rsid w:val="006D16B4"/>
    <w:rsid w:val="006D4E3C"/>
    <w:rsid w:val="006D5DE8"/>
    <w:rsid w:val="006D7807"/>
    <w:rsid w:val="006E00CE"/>
    <w:rsid w:val="006E07E2"/>
    <w:rsid w:val="006E08FA"/>
    <w:rsid w:val="006E1C3D"/>
    <w:rsid w:val="006E246F"/>
    <w:rsid w:val="006E4F2B"/>
    <w:rsid w:val="006E5832"/>
    <w:rsid w:val="006E5C98"/>
    <w:rsid w:val="006E7017"/>
    <w:rsid w:val="006E7221"/>
    <w:rsid w:val="006E74F4"/>
    <w:rsid w:val="006F2E5B"/>
    <w:rsid w:val="006F3235"/>
    <w:rsid w:val="006F351F"/>
    <w:rsid w:val="006F358A"/>
    <w:rsid w:val="0070228C"/>
    <w:rsid w:val="00702337"/>
    <w:rsid w:val="00702988"/>
    <w:rsid w:val="007037BF"/>
    <w:rsid w:val="00703CAB"/>
    <w:rsid w:val="007048CD"/>
    <w:rsid w:val="00704BE5"/>
    <w:rsid w:val="00705B77"/>
    <w:rsid w:val="00706115"/>
    <w:rsid w:val="007077F8"/>
    <w:rsid w:val="00710C70"/>
    <w:rsid w:val="007161B8"/>
    <w:rsid w:val="007169A5"/>
    <w:rsid w:val="00720A7B"/>
    <w:rsid w:val="00722F60"/>
    <w:rsid w:val="00723403"/>
    <w:rsid w:val="007240AB"/>
    <w:rsid w:val="0072509A"/>
    <w:rsid w:val="007269F5"/>
    <w:rsid w:val="00727848"/>
    <w:rsid w:val="007300C7"/>
    <w:rsid w:val="00731E3A"/>
    <w:rsid w:val="00732FD6"/>
    <w:rsid w:val="00733699"/>
    <w:rsid w:val="00734A88"/>
    <w:rsid w:val="00735FA3"/>
    <w:rsid w:val="007366A8"/>
    <w:rsid w:val="00736EB5"/>
    <w:rsid w:val="00740AE8"/>
    <w:rsid w:val="00741A14"/>
    <w:rsid w:val="00744253"/>
    <w:rsid w:val="007467C5"/>
    <w:rsid w:val="0074774B"/>
    <w:rsid w:val="00750162"/>
    <w:rsid w:val="0075196F"/>
    <w:rsid w:val="00752CCA"/>
    <w:rsid w:val="00753484"/>
    <w:rsid w:val="00754433"/>
    <w:rsid w:val="007549A4"/>
    <w:rsid w:val="00755F04"/>
    <w:rsid w:val="00756188"/>
    <w:rsid w:val="00760EB9"/>
    <w:rsid w:val="00761A47"/>
    <w:rsid w:val="007621BB"/>
    <w:rsid w:val="00762949"/>
    <w:rsid w:val="00763406"/>
    <w:rsid w:val="007636D0"/>
    <w:rsid w:val="00764384"/>
    <w:rsid w:val="007644F9"/>
    <w:rsid w:val="00764577"/>
    <w:rsid w:val="00786464"/>
    <w:rsid w:val="007877A6"/>
    <w:rsid w:val="00791C3B"/>
    <w:rsid w:val="00794E45"/>
    <w:rsid w:val="00795CB1"/>
    <w:rsid w:val="00795F10"/>
    <w:rsid w:val="007A0300"/>
    <w:rsid w:val="007A0A80"/>
    <w:rsid w:val="007A179D"/>
    <w:rsid w:val="007A3E0F"/>
    <w:rsid w:val="007A407C"/>
    <w:rsid w:val="007A6158"/>
    <w:rsid w:val="007A6CDC"/>
    <w:rsid w:val="007A78BF"/>
    <w:rsid w:val="007B008A"/>
    <w:rsid w:val="007B0EB3"/>
    <w:rsid w:val="007B16F2"/>
    <w:rsid w:val="007B18F5"/>
    <w:rsid w:val="007B1A46"/>
    <w:rsid w:val="007B1E05"/>
    <w:rsid w:val="007B2206"/>
    <w:rsid w:val="007B3143"/>
    <w:rsid w:val="007B4DAE"/>
    <w:rsid w:val="007B645A"/>
    <w:rsid w:val="007B701D"/>
    <w:rsid w:val="007B7179"/>
    <w:rsid w:val="007C0D3E"/>
    <w:rsid w:val="007C47CD"/>
    <w:rsid w:val="007C5C2C"/>
    <w:rsid w:val="007C62D3"/>
    <w:rsid w:val="007C68AD"/>
    <w:rsid w:val="007C7F42"/>
    <w:rsid w:val="007D0487"/>
    <w:rsid w:val="007D2A86"/>
    <w:rsid w:val="007D723B"/>
    <w:rsid w:val="007E2036"/>
    <w:rsid w:val="007E32AF"/>
    <w:rsid w:val="007E39AF"/>
    <w:rsid w:val="007E3CCF"/>
    <w:rsid w:val="007E405D"/>
    <w:rsid w:val="007E4583"/>
    <w:rsid w:val="007E52BE"/>
    <w:rsid w:val="007E6A37"/>
    <w:rsid w:val="007E7758"/>
    <w:rsid w:val="007E7B7D"/>
    <w:rsid w:val="007F12B6"/>
    <w:rsid w:val="007F2128"/>
    <w:rsid w:val="007F227C"/>
    <w:rsid w:val="007F278F"/>
    <w:rsid w:val="007F3F79"/>
    <w:rsid w:val="007F51A8"/>
    <w:rsid w:val="007F6910"/>
    <w:rsid w:val="008006E6"/>
    <w:rsid w:val="00800EAF"/>
    <w:rsid w:val="008032D9"/>
    <w:rsid w:val="00803ADE"/>
    <w:rsid w:val="00803C72"/>
    <w:rsid w:val="00804C95"/>
    <w:rsid w:val="00805CC4"/>
    <w:rsid w:val="00806661"/>
    <w:rsid w:val="0080670C"/>
    <w:rsid w:val="008068DE"/>
    <w:rsid w:val="00806A71"/>
    <w:rsid w:val="00807F5D"/>
    <w:rsid w:val="008105D2"/>
    <w:rsid w:val="00810985"/>
    <w:rsid w:val="0081170B"/>
    <w:rsid w:val="008131CE"/>
    <w:rsid w:val="00813EA0"/>
    <w:rsid w:val="00814DAD"/>
    <w:rsid w:val="00820292"/>
    <w:rsid w:val="00820AE8"/>
    <w:rsid w:val="00821DD5"/>
    <w:rsid w:val="00824874"/>
    <w:rsid w:val="00825969"/>
    <w:rsid w:val="00825E3B"/>
    <w:rsid w:val="00826954"/>
    <w:rsid w:val="00827718"/>
    <w:rsid w:val="008279C0"/>
    <w:rsid w:val="00832AB6"/>
    <w:rsid w:val="00833081"/>
    <w:rsid w:val="00833727"/>
    <w:rsid w:val="00833E7C"/>
    <w:rsid w:val="00834C46"/>
    <w:rsid w:val="00836AB6"/>
    <w:rsid w:val="00842E13"/>
    <w:rsid w:val="00843442"/>
    <w:rsid w:val="0084372E"/>
    <w:rsid w:val="00843D65"/>
    <w:rsid w:val="00843E19"/>
    <w:rsid w:val="008446DD"/>
    <w:rsid w:val="00844FB1"/>
    <w:rsid w:val="008474D8"/>
    <w:rsid w:val="008506AB"/>
    <w:rsid w:val="00851FE8"/>
    <w:rsid w:val="00853E04"/>
    <w:rsid w:val="00853EA0"/>
    <w:rsid w:val="00854476"/>
    <w:rsid w:val="00855EAC"/>
    <w:rsid w:val="00857E4C"/>
    <w:rsid w:val="0086003F"/>
    <w:rsid w:val="0087047D"/>
    <w:rsid w:val="00871539"/>
    <w:rsid w:val="00871777"/>
    <w:rsid w:val="00872868"/>
    <w:rsid w:val="00872BB9"/>
    <w:rsid w:val="008740BF"/>
    <w:rsid w:val="0087483D"/>
    <w:rsid w:val="0087563F"/>
    <w:rsid w:val="00875795"/>
    <w:rsid w:val="00876DDC"/>
    <w:rsid w:val="00880B02"/>
    <w:rsid w:val="008815D9"/>
    <w:rsid w:val="00882293"/>
    <w:rsid w:val="00882981"/>
    <w:rsid w:val="00883DB2"/>
    <w:rsid w:val="0088668B"/>
    <w:rsid w:val="00887F7F"/>
    <w:rsid w:val="00890B18"/>
    <w:rsid w:val="00890B3F"/>
    <w:rsid w:val="00890C93"/>
    <w:rsid w:val="0089107B"/>
    <w:rsid w:val="00891687"/>
    <w:rsid w:val="00892C2C"/>
    <w:rsid w:val="00893491"/>
    <w:rsid w:val="00893A95"/>
    <w:rsid w:val="008A05A8"/>
    <w:rsid w:val="008A3487"/>
    <w:rsid w:val="008A39A3"/>
    <w:rsid w:val="008A4DA1"/>
    <w:rsid w:val="008A6C2E"/>
    <w:rsid w:val="008A71A6"/>
    <w:rsid w:val="008A7AD6"/>
    <w:rsid w:val="008A7C85"/>
    <w:rsid w:val="008A7D37"/>
    <w:rsid w:val="008B0CE8"/>
    <w:rsid w:val="008B24DF"/>
    <w:rsid w:val="008B441E"/>
    <w:rsid w:val="008B5A4B"/>
    <w:rsid w:val="008B5D66"/>
    <w:rsid w:val="008C12D0"/>
    <w:rsid w:val="008C1690"/>
    <w:rsid w:val="008C226E"/>
    <w:rsid w:val="008C2C39"/>
    <w:rsid w:val="008C489E"/>
    <w:rsid w:val="008C5218"/>
    <w:rsid w:val="008C6C02"/>
    <w:rsid w:val="008D2774"/>
    <w:rsid w:val="008D4CAC"/>
    <w:rsid w:val="008D5410"/>
    <w:rsid w:val="008D59F3"/>
    <w:rsid w:val="008D6A9C"/>
    <w:rsid w:val="008D6AF7"/>
    <w:rsid w:val="008D6C9F"/>
    <w:rsid w:val="008E0390"/>
    <w:rsid w:val="008E0776"/>
    <w:rsid w:val="008E1C29"/>
    <w:rsid w:val="008E1F63"/>
    <w:rsid w:val="008E2DF0"/>
    <w:rsid w:val="008E5D17"/>
    <w:rsid w:val="008E6EBE"/>
    <w:rsid w:val="008F1736"/>
    <w:rsid w:val="008F23A2"/>
    <w:rsid w:val="008F2594"/>
    <w:rsid w:val="008F2D95"/>
    <w:rsid w:val="008F3877"/>
    <w:rsid w:val="008F6949"/>
    <w:rsid w:val="008F6A82"/>
    <w:rsid w:val="009004C3"/>
    <w:rsid w:val="009008FD"/>
    <w:rsid w:val="00900D8A"/>
    <w:rsid w:val="00901638"/>
    <w:rsid w:val="009030A7"/>
    <w:rsid w:val="0090445E"/>
    <w:rsid w:val="00904AB5"/>
    <w:rsid w:val="00906EA3"/>
    <w:rsid w:val="00907D45"/>
    <w:rsid w:val="0091084A"/>
    <w:rsid w:val="00913638"/>
    <w:rsid w:val="00914662"/>
    <w:rsid w:val="009156BC"/>
    <w:rsid w:val="0091652D"/>
    <w:rsid w:val="0091701D"/>
    <w:rsid w:val="00917B68"/>
    <w:rsid w:val="009210C8"/>
    <w:rsid w:val="00923927"/>
    <w:rsid w:val="00923CBC"/>
    <w:rsid w:val="00926EBB"/>
    <w:rsid w:val="00926FBA"/>
    <w:rsid w:val="0092710D"/>
    <w:rsid w:val="00931442"/>
    <w:rsid w:val="0093321F"/>
    <w:rsid w:val="0093495A"/>
    <w:rsid w:val="0093680E"/>
    <w:rsid w:val="00942771"/>
    <w:rsid w:val="00942A7C"/>
    <w:rsid w:val="00943D27"/>
    <w:rsid w:val="009445A5"/>
    <w:rsid w:val="0094568E"/>
    <w:rsid w:val="00946008"/>
    <w:rsid w:val="00946325"/>
    <w:rsid w:val="00946EEE"/>
    <w:rsid w:val="009475DD"/>
    <w:rsid w:val="0095221D"/>
    <w:rsid w:val="009528B4"/>
    <w:rsid w:val="00952E68"/>
    <w:rsid w:val="00953323"/>
    <w:rsid w:val="00954A6B"/>
    <w:rsid w:val="009560D4"/>
    <w:rsid w:val="009577E4"/>
    <w:rsid w:val="00957F65"/>
    <w:rsid w:val="009614E9"/>
    <w:rsid w:val="00961FBF"/>
    <w:rsid w:val="009621C0"/>
    <w:rsid w:val="00965336"/>
    <w:rsid w:val="0097320E"/>
    <w:rsid w:val="00975647"/>
    <w:rsid w:val="00975ABA"/>
    <w:rsid w:val="00976299"/>
    <w:rsid w:val="00976624"/>
    <w:rsid w:val="009771C5"/>
    <w:rsid w:val="009832B5"/>
    <w:rsid w:val="00983854"/>
    <w:rsid w:val="00986E43"/>
    <w:rsid w:val="00987196"/>
    <w:rsid w:val="009900F5"/>
    <w:rsid w:val="00991DBD"/>
    <w:rsid w:val="00992474"/>
    <w:rsid w:val="00993157"/>
    <w:rsid w:val="0099451F"/>
    <w:rsid w:val="00994610"/>
    <w:rsid w:val="009956D7"/>
    <w:rsid w:val="00996972"/>
    <w:rsid w:val="009A2166"/>
    <w:rsid w:val="009A3094"/>
    <w:rsid w:val="009A3752"/>
    <w:rsid w:val="009A3761"/>
    <w:rsid w:val="009A6A15"/>
    <w:rsid w:val="009A7715"/>
    <w:rsid w:val="009B14BC"/>
    <w:rsid w:val="009B2F1C"/>
    <w:rsid w:val="009B3DB9"/>
    <w:rsid w:val="009B44C1"/>
    <w:rsid w:val="009B497A"/>
    <w:rsid w:val="009B5089"/>
    <w:rsid w:val="009B5671"/>
    <w:rsid w:val="009B780E"/>
    <w:rsid w:val="009B7F81"/>
    <w:rsid w:val="009C0A32"/>
    <w:rsid w:val="009C0BB6"/>
    <w:rsid w:val="009C1090"/>
    <w:rsid w:val="009C3762"/>
    <w:rsid w:val="009C55C5"/>
    <w:rsid w:val="009C775D"/>
    <w:rsid w:val="009D0444"/>
    <w:rsid w:val="009D0BD3"/>
    <w:rsid w:val="009D134E"/>
    <w:rsid w:val="009D19EC"/>
    <w:rsid w:val="009D4C38"/>
    <w:rsid w:val="009D5248"/>
    <w:rsid w:val="009D5E69"/>
    <w:rsid w:val="009D62BA"/>
    <w:rsid w:val="009D76ED"/>
    <w:rsid w:val="009E07CE"/>
    <w:rsid w:val="009E173E"/>
    <w:rsid w:val="009E2B35"/>
    <w:rsid w:val="009E2CF0"/>
    <w:rsid w:val="009E370F"/>
    <w:rsid w:val="009E3F2A"/>
    <w:rsid w:val="009E65A5"/>
    <w:rsid w:val="009E7C7B"/>
    <w:rsid w:val="009F23C4"/>
    <w:rsid w:val="009F38A8"/>
    <w:rsid w:val="009F3991"/>
    <w:rsid w:val="009F4D8C"/>
    <w:rsid w:val="009F5C64"/>
    <w:rsid w:val="009F6346"/>
    <w:rsid w:val="009F6897"/>
    <w:rsid w:val="009F7BE7"/>
    <w:rsid w:val="00A0205B"/>
    <w:rsid w:val="00A0231B"/>
    <w:rsid w:val="00A029D8"/>
    <w:rsid w:val="00A02D66"/>
    <w:rsid w:val="00A02F9D"/>
    <w:rsid w:val="00A04E8D"/>
    <w:rsid w:val="00A06B92"/>
    <w:rsid w:val="00A07DB5"/>
    <w:rsid w:val="00A10A78"/>
    <w:rsid w:val="00A1483E"/>
    <w:rsid w:val="00A14CF4"/>
    <w:rsid w:val="00A203AE"/>
    <w:rsid w:val="00A22ABA"/>
    <w:rsid w:val="00A31518"/>
    <w:rsid w:val="00A33B08"/>
    <w:rsid w:val="00A34466"/>
    <w:rsid w:val="00A365E0"/>
    <w:rsid w:val="00A3754D"/>
    <w:rsid w:val="00A37CE0"/>
    <w:rsid w:val="00A40129"/>
    <w:rsid w:val="00A421FC"/>
    <w:rsid w:val="00A42C40"/>
    <w:rsid w:val="00A43DFF"/>
    <w:rsid w:val="00A45E13"/>
    <w:rsid w:val="00A46469"/>
    <w:rsid w:val="00A46E78"/>
    <w:rsid w:val="00A50870"/>
    <w:rsid w:val="00A52570"/>
    <w:rsid w:val="00A529E1"/>
    <w:rsid w:val="00A52EAA"/>
    <w:rsid w:val="00A537D9"/>
    <w:rsid w:val="00A5494E"/>
    <w:rsid w:val="00A5688F"/>
    <w:rsid w:val="00A56A18"/>
    <w:rsid w:val="00A56DCB"/>
    <w:rsid w:val="00A57D63"/>
    <w:rsid w:val="00A603BA"/>
    <w:rsid w:val="00A617BC"/>
    <w:rsid w:val="00A63494"/>
    <w:rsid w:val="00A63C84"/>
    <w:rsid w:val="00A649B7"/>
    <w:rsid w:val="00A64A82"/>
    <w:rsid w:val="00A64B20"/>
    <w:rsid w:val="00A65558"/>
    <w:rsid w:val="00A72976"/>
    <w:rsid w:val="00A72B6A"/>
    <w:rsid w:val="00A73549"/>
    <w:rsid w:val="00A74EE7"/>
    <w:rsid w:val="00A759C6"/>
    <w:rsid w:val="00A8114D"/>
    <w:rsid w:val="00A816F9"/>
    <w:rsid w:val="00A82B88"/>
    <w:rsid w:val="00A86614"/>
    <w:rsid w:val="00A87737"/>
    <w:rsid w:val="00A91A3D"/>
    <w:rsid w:val="00A942C3"/>
    <w:rsid w:val="00A9449A"/>
    <w:rsid w:val="00A956B1"/>
    <w:rsid w:val="00A95CCD"/>
    <w:rsid w:val="00A9762B"/>
    <w:rsid w:val="00AA04E7"/>
    <w:rsid w:val="00AA0797"/>
    <w:rsid w:val="00AA0920"/>
    <w:rsid w:val="00AA1173"/>
    <w:rsid w:val="00AA3CE5"/>
    <w:rsid w:val="00AA4103"/>
    <w:rsid w:val="00AA4CD9"/>
    <w:rsid w:val="00AA5284"/>
    <w:rsid w:val="00AA556E"/>
    <w:rsid w:val="00AA7130"/>
    <w:rsid w:val="00AB119A"/>
    <w:rsid w:val="00AB1B3E"/>
    <w:rsid w:val="00AB458B"/>
    <w:rsid w:val="00AB6080"/>
    <w:rsid w:val="00AB622C"/>
    <w:rsid w:val="00AB6ABE"/>
    <w:rsid w:val="00AB6DCC"/>
    <w:rsid w:val="00AB703C"/>
    <w:rsid w:val="00AB71A0"/>
    <w:rsid w:val="00AB7FDB"/>
    <w:rsid w:val="00AC13EA"/>
    <w:rsid w:val="00AC3639"/>
    <w:rsid w:val="00AC36B0"/>
    <w:rsid w:val="00AC52AD"/>
    <w:rsid w:val="00AC616E"/>
    <w:rsid w:val="00AC7D31"/>
    <w:rsid w:val="00AD031C"/>
    <w:rsid w:val="00AD154C"/>
    <w:rsid w:val="00AD1C14"/>
    <w:rsid w:val="00AD2F79"/>
    <w:rsid w:val="00AD39C4"/>
    <w:rsid w:val="00AD43A4"/>
    <w:rsid w:val="00AD4C6A"/>
    <w:rsid w:val="00AD561E"/>
    <w:rsid w:val="00AD5E3F"/>
    <w:rsid w:val="00AD7D0D"/>
    <w:rsid w:val="00AE0D7C"/>
    <w:rsid w:val="00AE30BE"/>
    <w:rsid w:val="00AE50C0"/>
    <w:rsid w:val="00AE5C6E"/>
    <w:rsid w:val="00AE62CB"/>
    <w:rsid w:val="00AE75C2"/>
    <w:rsid w:val="00AF02C4"/>
    <w:rsid w:val="00AF1084"/>
    <w:rsid w:val="00AF1754"/>
    <w:rsid w:val="00AF6D1D"/>
    <w:rsid w:val="00B0088F"/>
    <w:rsid w:val="00B01763"/>
    <w:rsid w:val="00B021B1"/>
    <w:rsid w:val="00B02E63"/>
    <w:rsid w:val="00B02F65"/>
    <w:rsid w:val="00B03D90"/>
    <w:rsid w:val="00B03EA7"/>
    <w:rsid w:val="00B041ED"/>
    <w:rsid w:val="00B04485"/>
    <w:rsid w:val="00B049A0"/>
    <w:rsid w:val="00B04A65"/>
    <w:rsid w:val="00B07226"/>
    <w:rsid w:val="00B1096B"/>
    <w:rsid w:val="00B11E7A"/>
    <w:rsid w:val="00B13952"/>
    <w:rsid w:val="00B14279"/>
    <w:rsid w:val="00B14427"/>
    <w:rsid w:val="00B15A75"/>
    <w:rsid w:val="00B16817"/>
    <w:rsid w:val="00B17739"/>
    <w:rsid w:val="00B17BDA"/>
    <w:rsid w:val="00B20D4E"/>
    <w:rsid w:val="00B21584"/>
    <w:rsid w:val="00B21BC0"/>
    <w:rsid w:val="00B2215B"/>
    <w:rsid w:val="00B25966"/>
    <w:rsid w:val="00B26161"/>
    <w:rsid w:val="00B306B8"/>
    <w:rsid w:val="00B32D50"/>
    <w:rsid w:val="00B34870"/>
    <w:rsid w:val="00B34B24"/>
    <w:rsid w:val="00B34E8F"/>
    <w:rsid w:val="00B3575D"/>
    <w:rsid w:val="00B371B4"/>
    <w:rsid w:val="00B41C1A"/>
    <w:rsid w:val="00B41E64"/>
    <w:rsid w:val="00B4338C"/>
    <w:rsid w:val="00B4441A"/>
    <w:rsid w:val="00B44A5B"/>
    <w:rsid w:val="00B45FB4"/>
    <w:rsid w:val="00B4617F"/>
    <w:rsid w:val="00B46252"/>
    <w:rsid w:val="00B46540"/>
    <w:rsid w:val="00B468E9"/>
    <w:rsid w:val="00B46E1F"/>
    <w:rsid w:val="00B47F10"/>
    <w:rsid w:val="00B508B9"/>
    <w:rsid w:val="00B50A00"/>
    <w:rsid w:val="00B51400"/>
    <w:rsid w:val="00B52F29"/>
    <w:rsid w:val="00B5324F"/>
    <w:rsid w:val="00B53AC1"/>
    <w:rsid w:val="00B5460E"/>
    <w:rsid w:val="00B54A13"/>
    <w:rsid w:val="00B55BC4"/>
    <w:rsid w:val="00B57180"/>
    <w:rsid w:val="00B571AD"/>
    <w:rsid w:val="00B573FF"/>
    <w:rsid w:val="00B60042"/>
    <w:rsid w:val="00B60169"/>
    <w:rsid w:val="00B61A38"/>
    <w:rsid w:val="00B63AE3"/>
    <w:rsid w:val="00B63DC7"/>
    <w:rsid w:val="00B657B4"/>
    <w:rsid w:val="00B659FD"/>
    <w:rsid w:val="00B65C25"/>
    <w:rsid w:val="00B701CC"/>
    <w:rsid w:val="00B71D59"/>
    <w:rsid w:val="00B74670"/>
    <w:rsid w:val="00B746CD"/>
    <w:rsid w:val="00B7532B"/>
    <w:rsid w:val="00B76209"/>
    <w:rsid w:val="00B77009"/>
    <w:rsid w:val="00B77A5B"/>
    <w:rsid w:val="00B77C3F"/>
    <w:rsid w:val="00B8009C"/>
    <w:rsid w:val="00B80C44"/>
    <w:rsid w:val="00B80D9E"/>
    <w:rsid w:val="00B81D49"/>
    <w:rsid w:val="00B81DEF"/>
    <w:rsid w:val="00B86F99"/>
    <w:rsid w:val="00B90697"/>
    <w:rsid w:val="00B9146F"/>
    <w:rsid w:val="00B91633"/>
    <w:rsid w:val="00B91B9B"/>
    <w:rsid w:val="00B9333F"/>
    <w:rsid w:val="00B934C1"/>
    <w:rsid w:val="00B94900"/>
    <w:rsid w:val="00B9533E"/>
    <w:rsid w:val="00BA0682"/>
    <w:rsid w:val="00BA3369"/>
    <w:rsid w:val="00BA38B5"/>
    <w:rsid w:val="00BB0659"/>
    <w:rsid w:val="00BB1701"/>
    <w:rsid w:val="00BB1A97"/>
    <w:rsid w:val="00BB26EB"/>
    <w:rsid w:val="00BB2866"/>
    <w:rsid w:val="00BB3478"/>
    <w:rsid w:val="00BB4A62"/>
    <w:rsid w:val="00BB4B1A"/>
    <w:rsid w:val="00BB4EC0"/>
    <w:rsid w:val="00BB6104"/>
    <w:rsid w:val="00BB66B6"/>
    <w:rsid w:val="00BC0230"/>
    <w:rsid w:val="00BC0E3D"/>
    <w:rsid w:val="00BC265F"/>
    <w:rsid w:val="00BC2B79"/>
    <w:rsid w:val="00BC2C38"/>
    <w:rsid w:val="00BC33C9"/>
    <w:rsid w:val="00BC4AFC"/>
    <w:rsid w:val="00BC5A17"/>
    <w:rsid w:val="00BC7133"/>
    <w:rsid w:val="00BC7530"/>
    <w:rsid w:val="00BD0673"/>
    <w:rsid w:val="00BD3961"/>
    <w:rsid w:val="00BD3F8B"/>
    <w:rsid w:val="00BD44FA"/>
    <w:rsid w:val="00BD4BFB"/>
    <w:rsid w:val="00BD7008"/>
    <w:rsid w:val="00BE054F"/>
    <w:rsid w:val="00BE1E63"/>
    <w:rsid w:val="00BE2A09"/>
    <w:rsid w:val="00BE43F5"/>
    <w:rsid w:val="00BE5538"/>
    <w:rsid w:val="00BE6CBA"/>
    <w:rsid w:val="00BE75C4"/>
    <w:rsid w:val="00BF30D4"/>
    <w:rsid w:val="00BF7CD7"/>
    <w:rsid w:val="00C00830"/>
    <w:rsid w:val="00C0413D"/>
    <w:rsid w:val="00C05986"/>
    <w:rsid w:val="00C07514"/>
    <w:rsid w:val="00C07C88"/>
    <w:rsid w:val="00C108CB"/>
    <w:rsid w:val="00C10BB4"/>
    <w:rsid w:val="00C10EB9"/>
    <w:rsid w:val="00C15555"/>
    <w:rsid w:val="00C20798"/>
    <w:rsid w:val="00C2372E"/>
    <w:rsid w:val="00C23FF5"/>
    <w:rsid w:val="00C252F1"/>
    <w:rsid w:val="00C26181"/>
    <w:rsid w:val="00C26554"/>
    <w:rsid w:val="00C32A39"/>
    <w:rsid w:val="00C33C78"/>
    <w:rsid w:val="00C34947"/>
    <w:rsid w:val="00C355DE"/>
    <w:rsid w:val="00C35CD4"/>
    <w:rsid w:val="00C37747"/>
    <w:rsid w:val="00C40A4D"/>
    <w:rsid w:val="00C427D9"/>
    <w:rsid w:val="00C44BE0"/>
    <w:rsid w:val="00C46665"/>
    <w:rsid w:val="00C46E88"/>
    <w:rsid w:val="00C509A3"/>
    <w:rsid w:val="00C50BB1"/>
    <w:rsid w:val="00C50ED1"/>
    <w:rsid w:val="00C51A00"/>
    <w:rsid w:val="00C53B0A"/>
    <w:rsid w:val="00C54B91"/>
    <w:rsid w:val="00C556DC"/>
    <w:rsid w:val="00C57425"/>
    <w:rsid w:val="00C62F6A"/>
    <w:rsid w:val="00C64F23"/>
    <w:rsid w:val="00C66B8F"/>
    <w:rsid w:val="00C66FA4"/>
    <w:rsid w:val="00C67484"/>
    <w:rsid w:val="00C67CD3"/>
    <w:rsid w:val="00C70E3C"/>
    <w:rsid w:val="00C74D80"/>
    <w:rsid w:val="00C766D2"/>
    <w:rsid w:val="00C80C75"/>
    <w:rsid w:val="00C82B2A"/>
    <w:rsid w:val="00C912FC"/>
    <w:rsid w:val="00C92F32"/>
    <w:rsid w:val="00C9308F"/>
    <w:rsid w:val="00C9568D"/>
    <w:rsid w:val="00C95F5D"/>
    <w:rsid w:val="00C96952"/>
    <w:rsid w:val="00C96F0D"/>
    <w:rsid w:val="00C97305"/>
    <w:rsid w:val="00CA0042"/>
    <w:rsid w:val="00CA00B2"/>
    <w:rsid w:val="00CA0706"/>
    <w:rsid w:val="00CA0DB0"/>
    <w:rsid w:val="00CA2081"/>
    <w:rsid w:val="00CA24E0"/>
    <w:rsid w:val="00CA3222"/>
    <w:rsid w:val="00CA3592"/>
    <w:rsid w:val="00CA3B4B"/>
    <w:rsid w:val="00CA40E1"/>
    <w:rsid w:val="00CA592E"/>
    <w:rsid w:val="00CA5D3F"/>
    <w:rsid w:val="00CA6514"/>
    <w:rsid w:val="00CA7101"/>
    <w:rsid w:val="00CB72A5"/>
    <w:rsid w:val="00CC0C23"/>
    <w:rsid w:val="00CC0F6B"/>
    <w:rsid w:val="00CC3C6A"/>
    <w:rsid w:val="00CC5BCB"/>
    <w:rsid w:val="00CC5DF5"/>
    <w:rsid w:val="00CC6D7E"/>
    <w:rsid w:val="00CD11D2"/>
    <w:rsid w:val="00CD134E"/>
    <w:rsid w:val="00CD1889"/>
    <w:rsid w:val="00CD2764"/>
    <w:rsid w:val="00CD310B"/>
    <w:rsid w:val="00CE037A"/>
    <w:rsid w:val="00CE2C6C"/>
    <w:rsid w:val="00CE4E26"/>
    <w:rsid w:val="00CE70D6"/>
    <w:rsid w:val="00CE7D01"/>
    <w:rsid w:val="00CF1B6A"/>
    <w:rsid w:val="00CF2ED0"/>
    <w:rsid w:val="00CF314B"/>
    <w:rsid w:val="00CF5116"/>
    <w:rsid w:val="00D01622"/>
    <w:rsid w:val="00D0503A"/>
    <w:rsid w:val="00D0793F"/>
    <w:rsid w:val="00D10FDF"/>
    <w:rsid w:val="00D14067"/>
    <w:rsid w:val="00D146D7"/>
    <w:rsid w:val="00D14AE8"/>
    <w:rsid w:val="00D14BD7"/>
    <w:rsid w:val="00D1518F"/>
    <w:rsid w:val="00D15D91"/>
    <w:rsid w:val="00D16733"/>
    <w:rsid w:val="00D17B9A"/>
    <w:rsid w:val="00D17F2A"/>
    <w:rsid w:val="00D20F14"/>
    <w:rsid w:val="00D21B8D"/>
    <w:rsid w:val="00D222AF"/>
    <w:rsid w:val="00D2269F"/>
    <w:rsid w:val="00D22A57"/>
    <w:rsid w:val="00D24DE2"/>
    <w:rsid w:val="00D25098"/>
    <w:rsid w:val="00D273E6"/>
    <w:rsid w:val="00D27479"/>
    <w:rsid w:val="00D31343"/>
    <w:rsid w:val="00D34766"/>
    <w:rsid w:val="00D34C17"/>
    <w:rsid w:val="00D36398"/>
    <w:rsid w:val="00D36757"/>
    <w:rsid w:val="00D37869"/>
    <w:rsid w:val="00D40268"/>
    <w:rsid w:val="00D41B0F"/>
    <w:rsid w:val="00D4257D"/>
    <w:rsid w:val="00D42753"/>
    <w:rsid w:val="00D42F07"/>
    <w:rsid w:val="00D436E3"/>
    <w:rsid w:val="00D43768"/>
    <w:rsid w:val="00D44015"/>
    <w:rsid w:val="00D44085"/>
    <w:rsid w:val="00D44270"/>
    <w:rsid w:val="00D45BC2"/>
    <w:rsid w:val="00D50D69"/>
    <w:rsid w:val="00D50D85"/>
    <w:rsid w:val="00D52412"/>
    <w:rsid w:val="00D52CC4"/>
    <w:rsid w:val="00D52F6B"/>
    <w:rsid w:val="00D54499"/>
    <w:rsid w:val="00D54649"/>
    <w:rsid w:val="00D5503E"/>
    <w:rsid w:val="00D56F05"/>
    <w:rsid w:val="00D57D45"/>
    <w:rsid w:val="00D623A7"/>
    <w:rsid w:val="00D63710"/>
    <w:rsid w:val="00D63A27"/>
    <w:rsid w:val="00D659C0"/>
    <w:rsid w:val="00D6654B"/>
    <w:rsid w:val="00D67774"/>
    <w:rsid w:val="00D67DCC"/>
    <w:rsid w:val="00D67E39"/>
    <w:rsid w:val="00D724B8"/>
    <w:rsid w:val="00D74461"/>
    <w:rsid w:val="00D74852"/>
    <w:rsid w:val="00D77076"/>
    <w:rsid w:val="00D82C2E"/>
    <w:rsid w:val="00D85CC6"/>
    <w:rsid w:val="00D85F1C"/>
    <w:rsid w:val="00D86A06"/>
    <w:rsid w:val="00D900B2"/>
    <w:rsid w:val="00D930C9"/>
    <w:rsid w:val="00D952A6"/>
    <w:rsid w:val="00D95630"/>
    <w:rsid w:val="00D95656"/>
    <w:rsid w:val="00D95B53"/>
    <w:rsid w:val="00D97DAC"/>
    <w:rsid w:val="00DA0A49"/>
    <w:rsid w:val="00DA1160"/>
    <w:rsid w:val="00DA1B98"/>
    <w:rsid w:val="00DA2728"/>
    <w:rsid w:val="00DA2D62"/>
    <w:rsid w:val="00DA33A7"/>
    <w:rsid w:val="00DA78CA"/>
    <w:rsid w:val="00DB11F1"/>
    <w:rsid w:val="00DB272D"/>
    <w:rsid w:val="00DB29FC"/>
    <w:rsid w:val="00DB2F65"/>
    <w:rsid w:val="00DB32AD"/>
    <w:rsid w:val="00DB382E"/>
    <w:rsid w:val="00DB426B"/>
    <w:rsid w:val="00DB5134"/>
    <w:rsid w:val="00DB5645"/>
    <w:rsid w:val="00DB6DC9"/>
    <w:rsid w:val="00DC0341"/>
    <w:rsid w:val="00DC11B9"/>
    <w:rsid w:val="00DC26FE"/>
    <w:rsid w:val="00DC3161"/>
    <w:rsid w:val="00DD126C"/>
    <w:rsid w:val="00DD1499"/>
    <w:rsid w:val="00DD1E1E"/>
    <w:rsid w:val="00DD27C7"/>
    <w:rsid w:val="00DD2CEF"/>
    <w:rsid w:val="00DD4E20"/>
    <w:rsid w:val="00DD7209"/>
    <w:rsid w:val="00DE2AB7"/>
    <w:rsid w:val="00DE2D44"/>
    <w:rsid w:val="00DE330B"/>
    <w:rsid w:val="00DE3803"/>
    <w:rsid w:val="00DE5874"/>
    <w:rsid w:val="00DE6427"/>
    <w:rsid w:val="00DE7441"/>
    <w:rsid w:val="00DF0BE6"/>
    <w:rsid w:val="00DF0CEB"/>
    <w:rsid w:val="00DF0EDF"/>
    <w:rsid w:val="00DF583F"/>
    <w:rsid w:val="00E01965"/>
    <w:rsid w:val="00E039FC"/>
    <w:rsid w:val="00E05737"/>
    <w:rsid w:val="00E05C75"/>
    <w:rsid w:val="00E0629B"/>
    <w:rsid w:val="00E06E00"/>
    <w:rsid w:val="00E0750F"/>
    <w:rsid w:val="00E11490"/>
    <w:rsid w:val="00E14710"/>
    <w:rsid w:val="00E14AD7"/>
    <w:rsid w:val="00E14C47"/>
    <w:rsid w:val="00E15007"/>
    <w:rsid w:val="00E16183"/>
    <w:rsid w:val="00E16265"/>
    <w:rsid w:val="00E17672"/>
    <w:rsid w:val="00E240FE"/>
    <w:rsid w:val="00E266C7"/>
    <w:rsid w:val="00E27DDB"/>
    <w:rsid w:val="00E30F0E"/>
    <w:rsid w:val="00E320F4"/>
    <w:rsid w:val="00E338FC"/>
    <w:rsid w:val="00E33C0C"/>
    <w:rsid w:val="00E34297"/>
    <w:rsid w:val="00E363F8"/>
    <w:rsid w:val="00E36FFA"/>
    <w:rsid w:val="00E4146D"/>
    <w:rsid w:val="00E44694"/>
    <w:rsid w:val="00E46ACB"/>
    <w:rsid w:val="00E54B00"/>
    <w:rsid w:val="00E5609C"/>
    <w:rsid w:val="00E60A68"/>
    <w:rsid w:val="00E60F72"/>
    <w:rsid w:val="00E61391"/>
    <w:rsid w:val="00E62A45"/>
    <w:rsid w:val="00E649C6"/>
    <w:rsid w:val="00E6566F"/>
    <w:rsid w:val="00E66666"/>
    <w:rsid w:val="00E66DCD"/>
    <w:rsid w:val="00E70966"/>
    <w:rsid w:val="00E70DE1"/>
    <w:rsid w:val="00E719C4"/>
    <w:rsid w:val="00E735CA"/>
    <w:rsid w:val="00E744FD"/>
    <w:rsid w:val="00E74E14"/>
    <w:rsid w:val="00E755AF"/>
    <w:rsid w:val="00E75B64"/>
    <w:rsid w:val="00E7683A"/>
    <w:rsid w:val="00E76A7F"/>
    <w:rsid w:val="00E7729B"/>
    <w:rsid w:val="00E83B84"/>
    <w:rsid w:val="00E83D36"/>
    <w:rsid w:val="00E84A78"/>
    <w:rsid w:val="00E86304"/>
    <w:rsid w:val="00E86890"/>
    <w:rsid w:val="00E87039"/>
    <w:rsid w:val="00E876DB"/>
    <w:rsid w:val="00E907A6"/>
    <w:rsid w:val="00E90BEE"/>
    <w:rsid w:val="00E90C92"/>
    <w:rsid w:val="00E91984"/>
    <w:rsid w:val="00E92585"/>
    <w:rsid w:val="00E93700"/>
    <w:rsid w:val="00E93BB7"/>
    <w:rsid w:val="00E945E7"/>
    <w:rsid w:val="00E96FA3"/>
    <w:rsid w:val="00EA0087"/>
    <w:rsid w:val="00EA1862"/>
    <w:rsid w:val="00EA3817"/>
    <w:rsid w:val="00EA600A"/>
    <w:rsid w:val="00EA61A3"/>
    <w:rsid w:val="00EA63BB"/>
    <w:rsid w:val="00EA709C"/>
    <w:rsid w:val="00EA7B54"/>
    <w:rsid w:val="00EB090F"/>
    <w:rsid w:val="00EB09E5"/>
    <w:rsid w:val="00EB0A65"/>
    <w:rsid w:val="00EB0A66"/>
    <w:rsid w:val="00EB0C35"/>
    <w:rsid w:val="00EB1627"/>
    <w:rsid w:val="00EB23FF"/>
    <w:rsid w:val="00EB2DA7"/>
    <w:rsid w:val="00EB3FB5"/>
    <w:rsid w:val="00EB6D28"/>
    <w:rsid w:val="00EB7968"/>
    <w:rsid w:val="00EC0E65"/>
    <w:rsid w:val="00EC1AE9"/>
    <w:rsid w:val="00EC387D"/>
    <w:rsid w:val="00EC3C39"/>
    <w:rsid w:val="00EC4558"/>
    <w:rsid w:val="00EC467F"/>
    <w:rsid w:val="00EC4C01"/>
    <w:rsid w:val="00EC5DF3"/>
    <w:rsid w:val="00EC74CE"/>
    <w:rsid w:val="00EC78A8"/>
    <w:rsid w:val="00ED082D"/>
    <w:rsid w:val="00ED18C1"/>
    <w:rsid w:val="00ED30FC"/>
    <w:rsid w:val="00ED6A63"/>
    <w:rsid w:val="00ED75CE"/>
    <w:rsid w:val="00ED7D81"/>
    <w:rsid w:val="00EE127B"/>
    <w:rsid w:val="00EE1698"/>
    <w:rsid w:val="00EE1758"/>
    <w:rsid w:val="00EE4F1E"/>
    <w:rsid w:val="00EE5DC0"/>
    <w:rsid w:val="00EF1FF8"/>
    <w:rsid w:val="00EF24F1"/>
    <w:rsid w:val="00EF2E64"/>
    <w:rsid w:val="00EF35B3"/>
    <w:rsid w:val="00EF54F6"/>
    <w:rsid w:val="00EF6D72"/>
    <w:rsid w:val="00EF6FDE"/>
    <w:rsid w:val="00EF733A"/>
    <w:rsid w:val="00F00BF0"/>
    <w:rsid w:val="00F01C57"/>
    <w:rsid w:val="00F022FD"/>
    <w:rsid w:val="00F02910"/>
    <w:rsid w:val="00F05961"/>
    <w:rsid w:val="00F05F6B"/>
    <w:rsid w:val="00F06F4C"/>
    <w:rsid w:val="00F07FC7"/>
    <w:rsid w:val="00F11895"/>
    <w:rsid w:val="00F12C89"/>
    <w:rsid w:val="00F13ABF"/>
    <w:rsid w:val="00F13C5A"/>
    <w:rsid w:val="00F15440"/>
    <w:rsid w:val="00F17427"/>
    <w:rsid w:val="00F17C7C"/>
    <w:rsid w:val="00F20A9D"/>
    <w:rsid w:val="00F21057"/>
    <w:rsid w:val="00F217D7"/>
    <w:rsid w:val="00F21AAD"/>
    <w:rsid w:val="00F21B0E"/>
    <w:rsid w:val="00F22AEF"/>
    <w:rsid w:val="00F2361A"/>
    <w:rsid w:val="00F2468A"/>
    <w:rsid w:val="00F248FE"/>
    <w:rsid w:val="00F24FBF"/>
    <w:rsid w:val="00F306A0"/>
    <w:rsid w:val="00F31964"/>
    <w:rsid w:val="00F36F8B"/>
    <w:rsid w:val="00F374B3"/>
    <w:rsid w:val="00F406D6"/>
    <w:rsid w:val="00F40E9C"/>
    <w:rsid w:val="00F4374C"/>
    <w:rsid w:val="00F43869"/>
    <w:rsid w:val="00F43B15"/>
    <w:rsid w:val="00F447BE"/>
    <w:rsid w:val="00F46943"/>
    <w:rsid w:val="00F46EB8"/>
    <w:rsid w:val="00F47977"/>
    <w:rsid w:val="00F47A77"/>
    <w:rsid w:val="00F55054"/>
    <w:rsid w:val="00F56CC2"/>
    <w:rsid w:val="00F57328"/>
    <w:rsid w:val="00F57782"/>
    <w:rsid w:val="00F608CB"/>
    <w:rsid w:val="00F60DB4"/>
    <w:rsid w:val="00F619EC"/>
    <w:rsid w:val="00F65337"/>
    <w:rsid w:val="00F65EA9"/>
    <w:rsid w:val="00F661D9"/>
    <w:rsid w:val="00F672C9"/>
    <w:rsid w:val="00F6797F"/>
    <w:rsid w:val="00F70A72"/>
    <w:rsid w:val="00F71282"/>
    <w:rsid w:val="00F72578"/>
    <w:rsid w:val="00F7269D"/>
    <w:rsid w:val="00F72DCC"/>
    <w:rsid w:val="00F730B6"/>
    <w:rsid w:val="00F73DBA"/>
    <w:rsid w:val="00F73DFB"/>
    <w:rsid w:val="00F758B9"/>
    <w:rsid w:val="00F767EB"/>
    <w:rsid w:val="00F768B6"/>
    <w:rsid w:val="00F82CA1"/>
    <w:rsid w:val="00F83CEB"/>
    <w:rsid w:val="00F86805"/>
    <w:rsid w:val="00F870A9"/>
    <w:rsid w:val="00F91931"/>
    <w:rsid w:val="00F919BF"/>
    <w:rsid w:val="00F91EDB"/>
    <w:rsid w:val="00F92CE5"/>
    <w:rsid w:val="00F93033"/>
    <w:rsid w:val="00F94441"/>
    <w:rsid w:val="00F96C17"/>
    <w:rsid w:val="00F96C85"/>
    <w:rsid w:val="00FA0C22"/>
    <w:rsid w:val="00FA0F18"/>
    <w:rsid w:val="00FA3B2E"/>
    <w:rsid w:val="00FA44F4"/>
    <w:rsid w:val="00FA7370"/>
    <w:rsid w:val="00FA7900"/>
    <w:rsid w:val="00FB037F"/>
    <w:rsid w:val="00FB1285"/>
    <w:rsid w:val="00FB1FD6"/>
    <w:rsid w:val="00FB2099"/>
    <w:rsid w:val="00FB30D2"/>
    <w:rsid w:val="00FB6558"/>
    <w:rsid w:val="00FC0B57"/>
    <w:rsid w:val="00FC0DD8"/>
    <w:rsid w:val="00FC1D85"/>
    <w:rsid w:val="00FC4979"/>
    <w:rsid w:val="00FC5A66"/>
    <w:rsid w:val="00FC7BAE"/>
    <w:rsid w:val="00FD15CC"/>
    <w:rsid w:val="00FD2A6C"/>
    <w:rsid w:val="00FD3F06"/>
    <w:rsid w:val="00FD560E"/>
    <w:rsid w:val="00FD5CDA"/>
    <w:rsid w:val="00FD60B0"/>
    <w:rsid w:val="00FD6998"/>
    <w:rsid w:val="00FD70DC"/>
    <w:rsid w:val="00FE0243"/>
    <w:rsid w:val="00FE1123"/>
    <w:rsid w:val="00FE4048"/>
    <w:rsid w:val="00FE4094"/>
    <w:rsid w:val="00FE4942"/>
    <w:rsid w:val="00FE6424"/>
    <w:rsid w:val="00FE6430"/>
    <w:rsid w:val="00FF1B37"/>
    <w:rsid w:val="00FF2D5F"/>
    <w:rsid w:val="00FF4423"/>
    <w:rsid w:val="00FF57EF"/>
    <w:rsid w:val="00FF629E"/>
    <w:rsid w:val="00FF71B5"/>
    <w:rsid w:val="10823F30"/>
    <w:rsid w:val="1802535E"/>
    <w:rsid w:val="2F040502"/>
    <w:rsid w:val="31026F9E"/>
    <w:rsid w:val="312013A9"/>
    <w:rsid w:val="39C36951"/>
    <w:rsid w:val="4B7369B8"/>
    <w:rsid w:val="60B41414"/>
    <w:rsid w:val="67A24B55"/>
    <w:rsid w:val="750D58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jc w:val="center"/>
    </w:pPr>
    <w:rPr>
      <w:rFonts w:ascii="方正小标宋_GBK" w:hAnsi="Calibri" w:eastAsia="方正小标宋_GBK" w:cs="Times New Roman"/>
      <w:b/>
      <w:bCs/>
      <w:sz w:val="36"/>
      <w:lang w:val="en-US"/>
    </w:rPr>
  </w:style>
  <w:style w:type="paragraph" w:customStyle="1" w:styleId="3">
    <w:name w:val="目录 11"/>
    <w:next w:val="1"/>
    <w:qFormat/>
    <w:uiPriority w:val="0"/>
    <w:pPr>
      <w:wordWrap w:val="0"/>
      <w:jc w:val="both"/>
    </w:pPr>
    <w:rPr>
      <w:rFonts w:ascii="Times New Roman" w:hAnsi="Times New Roman" w:eastAsia="宋体" w:cs="Times New Roman"/>
      <w:sz w:val="21"/>
      <w:szCs w:val="22"/>
      <w:lang w:val="en-US" w:eastAsia="zh-CN" w:bidi="ar-SA"/>
    </w:rPr>
  </w:style>
  <w:style w:type="paragraph" w:styleId="4">
    <w:name w:val="footer"/>
    <w:basedOn w:val="1"/>
    <w:link w:val="9"/>
    <w:unhideWhenUsed/>
    <w:qFormat/>
    <w:uiPriority w:val="99"/>
    <w:pPr>
      <w:tabs>
        <w:tab w:val="center" w:pos="4153"/>
        <w:tab w:val="right" w:pos="8306"/>
      </w:tabs>
      <w:snapToGrid w:val="0"/>
      <w:jc w:val="left"/>
    </w:pPr>
    <w:rPr>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7"/>
    <w:link w:val="5"/>
    <w:qFormat/>
    <w:uiPriority w:val="99"/>
    <w:rPr>
      <w:sz w:val="18"/>
      <w:szCs w:val="18"/>
    </w:rPr>
  </w:style>
  <w:style w:type="character" w:customStyle="1" w:styleId="9">
    <w:name w:val="页脚 Char"/>
    <w:basedOn w:val="7"/>
    <w:link w:val="4"/>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12</Pages>
  <Words>2775</Words>
  <Characters>3016</Characters>
  <Lines>8</Lines>
  <Paragraphs>2</Paragraphs>
  <TotalTime>11</TotalTime>
  <ScaleCrop>false</ScaleCrop>
  <LinksUpToDate>false</LinksUpToDate>
  <CharactersWithSpaces>3091</CharactersWithSpaces>
  <Application>WPS Office_11.8.2.11473_F1E327BC-269C-435d-A152-05C5408002CA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2022-02-08T07:11:00Z</dcterms:created>
  <dc:creator>王雅婧</dc:creator>
  <cp:lastModifiedBy>admin</cp:lastModifiedBy>
  <dcterms:modified xsi:type="dcterms:W3CDTF">2025-08-28T08:30:57Z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2052-11.8.2.11473</vt:lpwstr>
  </property>
  <property fmtid="{D5CDD505-2E9C-101B-9397-08002B2CF9AE}" pid="3" name="ICV">
    <vt:lpwstr>762DD192A2DD417780D57DF4B5E229D4_13</vt:lpwstr>
  </property>
  <property fmtid="{D5CDD505-2E9C-101B-9397-08002B2CF9AE}" pid="4" name="KSOTemplateDocerSaveRecord">
    <vt:lpwstr>eyJoZGlkIjoiNGUxNzcwNjY2ZjI3OTk0Y2M4M2Q2NzAxZjBhMmNlMzgiLCJ1c2VySWQiOiIyNzQyMDIzNjEifQ==</vt:lpwstr>
  </property>
</Properties>
</file>