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8928" w:type="dxa"/>
        <w:jc w:val="center"/>
        <w:tblLayout w:type="fixed"/>
        <w:tblCellMar>
          <w:top w:w="0" w:type="dxa"/>
          <w:left w:w="108" w:type="dxa"/>
          <w:bottom w:w="0" w:type="dxa"/>
          <w:right w:w="108" w:type="dxa"/>
        </w:tblCellMar>
      </w:tblPr>
      <w:tblGrid>
        <w:gridCol w:w="578"/>
        <w:gridCol w:w="811"/>
        <w:gridCol w:w="1244"/>
        <w:gridCol w:w="570"/>
        <w:gridCol w:w="1262"/>
        <w:gridCol w:w="279"/>
        <w:gridCol w:w="845"/>
        <w:gridCol w:w="831"/>
        <w:gridCol w:w="356"/>
        <w:gridCol w:w="201"/>
        <w:gridCol w:w="562"/>
        <w:gridCol w:w="669"/>
        <w:gridCol w:w="720"/>
      </w:tblGrid>
      <w:tr w14:paraId="37A79C78">
        <w:tblPrEx>
          <w:tblCellMar>
            <w:top w:w="0" w:type="dxa"/>
            <w:left w:w="108" w:type="dxa"/>
            <w:bottom w:w="0" w:type="dxa"/>
            <w:right w:w="108" w:type="dxa"/>
          </w:tblCellMar>
        </w:tblPrEx>
        <w:trPr>
          <w:trHeight w:val="440" w:hRule="exact"/>
          <w:jc w:val="center"/>
        </w:trPr>
        <w:tc>
          <w:tcPr>
            <w:tcW w:w="8928" w:type="dxa"/>
            <w:gridSpan w:val="13"/>
            <w:tcBorders>
              <w:top w:val="nil"/>
              <w:left w:val="nil"/>
              <w:bottom w:val="nil"/>
              <w:right w:val="nil"/>
            </w:tcBorders>
            <w:vAlign w:val="center"/>
          </w:tcPr>
          <w:p w14:paraId="30D11C49">
            <w:pPr>
              <w:widowControl/>
              <w:spacing w:line="320" w:lineRule="exact"/>
              <w:jc w:val="center"/>
              <w:rPr>
                <w:rFonts w:hint="eastAsia" w:ascii="宋体" w:hAnsi="宋体" w:eastAsia="宋体" w:cs="宋体"/>
                <w:b/>
                <w:bCs/>
                <w:kern w:val="0"/>
                <w:sz w:val="32"/>
                <w:szCs w:val="32"/>
              </w:rPr>
            </w:pPr>
            <w:bookmarkStart w:id="0" w:name="_Toc396293517"/>
            <w:bookmarkStart w:id="1" w:name="_Toc380588482"/>
            <w:r>
              <w:rPr>
                <w:rFonts w:hint="eastAsia" w:ascii="宋体" w:hAnsi="宋体" w:eastAsia="宋体" w:cs="宋体"/>
                <w:b/>
                <w:bCs/>
                <w:kern w:val="0"/>
                <w:sz w:val="32"/>
                <w:szCs w:val="32"/>
              </w:rPr>
              <w:t>项目支出绩效自评表</w:t>
            </w:r>
          </w:p>
        </w:tc>
      </w:tr>
      <w:tr w14:paraId="1D4E2BC7">
        <w:tblPrEx>
          <w:tblCellMar>
            <w:top w:w="0" w:type="dxa"/>
            <w:left w:w="108" w:type="dxa"/>
            <w:bottom w:w="0" w:type="dxa"/>
            <w:right w:w="108" w:type="dxa"/>
          </w:tblCellMar>
        </w:tblPrEx>
        <w:trPr>
          <w:trHeight w:val="194" w:hRule="atLeast"/>
          <w:jc w:val="center"/>
        </w:trPr>
        <w:tc>
          <w:tcPr>
            <w:tcW w:w="8928" w:type="dxa"/>
            <w:gridSpan w:val="13"/>
            <w:tcBorders>
              <w:top w:val="nil"/>
              <w:left w:val="nil"/>
              <w:bottom w:val="nil"/>
              <w:right w:val="nil"/>
            </w:tcBorders>
          </w:tcPr>
          <w:p w14:paraId="106FBB8E">
            <w:pPr>
              <w:widowControl/>
              <w:jc w:val="center"/>
              <w:rPr>
                <w:rFonts w:hint="eastAsia" w:ascii="宋体" w:hAnsi="宋体" w:eastAsia="宋体" w:cs="宋体"/>
                <w:kern w:val="0"/>
                <w:sz w:val="22"/>
                <w:szCs w:val="24"/>
              </w:rPr>
            </w:pPr>
            <w:r>
              <w:rPr>
                <w:rFonts w:hint="eastAsia" w:ascii="宋体" w:hAnsi="宋体" w:eastAsia="宋体" w:cs="宋体"/>
                <w:kern w:val="0"/>
                <w:sz w:val="22"/>
                <w:szCs w:val="24"/>
              </w:rPr>
              <w:t>（  2024  年度）</w:t>
            </w:r>
          </w:p>
        </w:tc>
      </w:tr>
      <w:tr w14:paraId="218AD781">
        <w:tblPrEx>
          <w:tblCellMar>
            <w:top w:w="0" w:type="dxa"/>
            <w:left w:w="108" w:type="dxa"/>
            <w:bottom w:w="0" w:type="dxa"/>
            <w:right w:w="108" w:type="dxa"/>
          </w:tblCellMar>
        </w:tblPrEx>
        <w:trPr>
          <w:trHeight w:val="291" w:hRule="exact"/>
          <w:jc w:val="center"/>
        </w:trPr>
        <w:tc>
          <w:tcPr>
            <w:tcW w:w="1389" w:type="dxa"/>
            <w:gridSpan w:val="2"/>
            <w:tcBorders>
              <w:top w:val="single" w:color="auto" w:sz="4" w:space="0"/>
              <w:left w:val="single" w:color="auto" w:sz="4" w:space="0"/>
              <w:bottom w:val="single" w:color="auto" w:sz="4" w:space="0"/>
              <w:right w:val="single" w:color="auto" w:sz="4" w:space="0"/>
            </w:tcBorders>
            <w:vAlign w:val="center"/>
          </w:tcPr>
          <w:p w14:paraId="76BE578E">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项目名称</w:t>
            </w:r>
          </w:p>
        </w:tc>
        <w:tc>
          <w:tcPr>
            <w:tcW w:w="7539" w:type="dxa"/>
            <w:gridSpan w:val="11"/>
            <w:tcBorders>
              <w:top w:val="single" w:color="auto" w:sz="4" w:space="0"/>
              <w:left w:val="nil"/>
              <w:bottom w:val="single" w:color="auto" w:sz="4" w:space="0"/>
              <w:right w:val="single" w:color="auto" w:sz="4" w:space="0"/>
            </w:tcBorders>
            <w:vAlign w:val="center"/>
          </w:tcPr>
          <w:p w14:paraId="083C11EB">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西城区-门头沟区结对协作华远华中心商业及酒店项目</w:t>
            </w:r>
          </w:p>
        </w:tc>
      </w:tr>
      <w:tr w14:paraId="5689F2C6">
        <w:tblPrEx>
          <w:tblCellMar>
            <w:top w:w="0" w:type="dxa"/>
            <w:left w:w="108" w:type="dxa"/>
            <w:bottom w:w="0" w:type="dxa"/>
            <w:right w:w="108" w:type="dxa"/>
          </w:tblCellMar>
        </w:tblPrEx>
        <w:trPr>
          <w:trHeight w:val="291" w:hRule="exact"/>
          <w:jc w:val="center"/>
        </w:trPr>
        <w:tc>
          <w:tcPr>
            <w:tcW w:w="1389" w:type="dxa"/>
            <w:gridSpan w:val="2"/>
            <w:tcBorders>
              <w:top w:val="single" w:color="auto" w:sz="4" w:space="0"/>
              <w:left w:val="single" w:color="auto" w:sz="4" w:space="0"/>
              <w:bottom w:val="single" w:color="auto" w:sz="4" w:space="0"/>
              <w:right w:val="single" w:color="auto" w:sz="4" w:space="0"/>
            </w:tcBorders>
            <w:vAlign w:val="center"/>
          </w:tcPr>
          <w:p w14:paraId="0D4FCC88">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主管部门</w:t>
            </w:r>
          </w:p>
        </w:tc>
        <w:tc>
          <w:tcPr>
            <w:tcW w:w="4200" w:type="dxa"/>
            <w:gridSpan w:val="5"/>
            <w:tcBorders>
              <w:top w:val="single" w:color="auto" w:sz="4" w:space="0"/>
              <w:left w:val="nil"/>
              <w:bottom w:val="single" w:color="auto" w:sz="4" w:space="0"/>
              <w:right w:val="single" w:color="auto" w:sz="4" w:space="0"/>
            </w:tcBorders>
            <w:vAlign w:val="center"/>
          </w:tcPr>
          <w:p w14:paraId="74057627">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国资委</w:t>
            </w:r>
          </w:p>
        </w:tc>
        <w:tc>
          <w:tcPr>
            <w:tcW w:w="1187" w:type="dxa"/>
            <w:gridSpan w:val="2"/>
            <w:tcBorders>
              <w:top w:val="nil"/>
              <w:left w:val="nil"/>
              <w:bottom w:val="single" w:color="auto" w:sz="4" w:space="0"/>
              <w:right w:val="single" w:color="auto" w:sz="4" w:space="0"/>
            </w:tcBorders>
            <w:vAlign w:val="center"/>
          </w:tcPr>
          <w:p w14:paraId="3181BE03">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实施单位</w:t>
            </w:r>
          </w:p>
        </w:tc>
        <w:tc>
          <w:tcPr>
            <w:tcW w:w="2152" w:type="dxa"/>
            <w:gridSpan w:val="4"/>
            <w:tcBorders>
              <w:top w:val="single" w:color="auto" w:sz="4" w:space="0"/>
              <w:left w:val="nil"/>
              <w:bottom w:val="single" w:color="auto" w:sz="4" w:space="0"/>
              <w:right w:val="single" w:color="auto" w:sz="4" w:space="0"/>
            </w:tcBorders>
            <w:vAlign w:val="center"/>
          </w:tcPr>
          <w:p w14:paraId="376D3E5E">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北京市华远集团有限公司</w:t>
            </w:r>
          </w:p>
        </w:tc>
      </w:tr>
      <w:tr w14:paraId="56EE471F">
        <w:tblPrEx>
          <w:tblCellMar>
            <w:top w:w="0" w:type="dxa"/>
            <w:left w:w="108" w:type="dxa"/>
            <w:bottom w:w="0" w:type="dxa"/>
            <w:right w:w="108" w:type="dxa"/>
          </w:tblCellMar>
        </w:tblPrEx>
        <w:trPr>
          <w:trHeight w:val="527" w:hRule="exact"/>
          <w:jc w:val="center"/>
        </w:trPr>
        <w:tc>
          <w:tcPr>
            <w:tcW w:w="1389" w:type="dxa"/>
            <w:gridSpan w:val="2"/>
            <w:vMerge w:val="restart"/>
            <w:tcBorders>
              <w:top w:val="single" w:color="auto" w:sz="4" w:space="0"/>
              <w:left w:val="single" w:color="auto" w:sz="4" w:space="0"/>
              <w:bottom w:val="single" w:color="auto" w:sz="4" w:space="0"/>
              <w:right w:val="single" w:color="auto" w:sz="4" w:space="0"/>
            </w:tcBorders>
            <w:vAlign w:val="center"/>
          </w:tcPr>
          <w:p w14:paraId="32BE518A">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项目资金</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（万元）</w:t>
            </w:r>
          </w:p>
        </w:tc>
        <w:tc>
          <w:tcPr>
            <w:tcW w:w="1814" w:type="dxa"/>
            <w:gridSpan w:val="2"/>
            <w:tcBorders>
              <w:top w:val="single" w:color="auto" w:sz="4" w:space="0"/>
              <w:left w:val="nil"/>
              <w:bottom w:val="single" w:color="auto" w:sz="4" w:space="0"/>
              <w:right w:val="single" w:color="auto" w:sz="4" w:space="0"/>
            </w:tcBorders>
            <w:vAlign w:val="center"/>
          </w:tcPr>
          <w:p w14:paraId="3FD1098A">
            <w:pPr>
              <w:widowControl/>
              <w:spacing w:line="240" w:lineRule="exact"/>
              <w:jc w:val="center"/>
              <w:rPr>
                <w:rFonts w:hint="eastAsia" w:ascii="宋体" w:hAnsi="宋体" w:eastAsia="宋体" w:cs="宋体"/>
                <w:kern w:val="0"/>
                <w:sz w:val="18"/>
                <w:szCs w:val="18"/>
              </w:rPr>
            </w:pPr>
          </w:p>
        </w:tc>
        <w:tc>
          <w:tcPr>
            <w:tcW w:w="1262" w:type="dxa"/>
            <w:tcBorders>
              <w:top w:val="nil"/>
              <w:left w:val="nil"/>
              <w:bottom w:val="single" w:color="auto" w:sz="4" w:space="0"/>
              <w:right w:val="single" w:color="auto" w:sz="4" w:space="0"/>
            </w:tcBorders>
            <w:vAlign w:val="center"/>
          </w:tcPr>
          <w:p w14:paraId="6B3C9BC4">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年初预算数</w:t>
            </w:r>
          </w:p>
        </w:tc>
        <w:tc>
          <w:tcPr>
            <w:tcW w:w="1124" w:type="dxa"/>
            <w:gridSpan w:val="2"/>
            <w:tcBorders>
              <w:top w:val="nil"/>
              <w:left w:val="nil"/>
              <w:bottom w:val="single" w:color="auto" w:sz="4" w:space="0"/>
              <w:right w:val="single" w:color="auto" w:sz="4" w:space="0"/>
            </w:tcBorders>
            <w:vAlign w:val="center"/>
          </w:tcPr>
          <w:p w14:paraId="7647A9DD">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全年预算数</w:t>
            </w:r>
          </w:p>
        </w:tc>
        <w:tc>
          <w:tcPr>
            <w:tcW w:w="1187" w:type="dxa"/>
            <w:gridSpan w:val="2"/>
            <w:tcBorders>
              <w:top w:val="nil"/>
              <w:left w:val="nil"/>
              <w:bottom w:val="single" w:color="auto" w:sz="4" w:space="0"/>
              <w:right w:val="single" w:color="auto" w:sz="4" w:space="0"/>
            </w:tcBorders>
            <w:vAlign w:val="center"/>
          </w:tcPr>
          <w:p w14:paraId="43DEE4B1">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全年执行数</w:t>
            </w:r>
          </w:p>
        </w:tc>
        <w:tc>
          <w:tcPr>
            <w:tcW w:w="763" w:type="dxa"/>
            <w:gridSpan w:val="2"/>
            <w:tcBorders>
              <w:top w:val="nil"/>
              <w:left w:val="nil"/>
              <w:bottom w:val="single" w:color="auto" w:sz="4" w:space="0"/>
              <w:right w:val="single" w:color="auto" w:sz="4" w:space="0"/>
            </w:tcBorders>
            <w:vAlign w:val="center"/>
          </w:tcPr>
          <w:p w14:paraId="1E9BAF02">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分值</w:t>
            </w:r>
          </w:p>
        </w:tc>
        <w:tc>
          <w:tcPr>
            <w:tcW w:w="669" w:type="dxa"/>
            <w:tcBorders>
              <w:top w:val="single" w:color="auto" w:sz="4" w:space="0"/>
              <w:left w:val="nil"/>
              <w:bottom w:val="single" w:color="auto" w:sz="4" w:space="0"/>
              <w:right w:val="single" w:color="auto" w:sz="4" w:space="0"/>
            </w:tcBorders>
            <w:vAlign w:val="center"/>
          </w:tcPr>
          <w:p w14:paraId="1650724E">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执行率</w:t>
            </w:r>
          </w:p>
        </w:tc>
        <w:tc>
          <w:tcPr>
            <w:tcW w:w="720" w:type="dxa"/>
            <w:tcBorders>
              <w:top w:val="nil"/>
              <w:left w:val="nil"/>
              <w:bottom w:val="single" w:color="auto" w:sz="4" w:space="0"/>
              <w:right w:val="single" w:color="auto" w:sz="4" w:space="0"/>
            </w:tcBorders>
            <w:vAlign w:val="center"/>
          </w:tcPr>
          <w:p w14:paraId="7FD69098">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得分</w:t>
            </w:r>
          </w:p>
        </w:tc>
      </w:tr>
      <w:tr w14:paraId="77D5EB64">
        <w:tblPrEx>
          <w:tblCellMar>
            <w:top w:w="0" w:type="dxa"/>
            <w:left w:w="108" w:type="dxa"/>
            <w:bottom w:w="0" w:type="dxa"/>
            <w:right w:w="108" w:type="dxa"/>
          </w:tblCellMar>
        </w:tblPrEx>
        <w:trPr>
          <w:trHeight w:val="291" w:hRule="exact"/>
          <w:jc w:val="center"/>
        </w:trPr>
        <w:tc>
          <w:tcPr>
            <w:tcW w:w="1389" w:type="dxa"/>
            <w:gridSpan w:val="2"/>
            <w:vMerge w:val="continue"/>
            <w:tcBorders>
              <w:top w:val="single" w:color="auto" w:sz="4" w:space="0"/>
              <w:left w:val="single" w:color="auto" w:sz="4" w:space="0"/>
              <w:bottom w:val="single" w:color="auto" w:sz="4" w:space="0"/>
              <w:right w:val="single" w:color="auto" w:sz="4" w:space="0"/>
            </w:tcBorders>
            <w:vAlign w:val="center"/>
          </w:tcPr>
          <w:p w14:paraId="0B1599AB">
            <w:pPr>
              <w:widowControl/>
              <w:spacing w:line="240" w:lineRule="exact"/>
              <w:jc w:val="center"/>
              <w:rPr>
                <w:rFonts w:hint="eastAsia" w:ascii="宋体" w:hAnsi="宋体" w:eastAsia="宋体" w:cs="宋体"/>
                <w:kern w:val="0"/>
                <w:sz w:val="18"/>
                <w:szCs w:val="18"/>
              </w:rPr>
            </w:pPr>
          </w:p>
        </w:tc>
        <w:tc>
          <w:tcPr>
            <w:tcW w:w="1814" w:type="dxa"/>
            <w:gridSpan w:val="2"/>
            <w:tcBorders>
              <w:top w:val="single" w:color="auto" w:sz="4" w:space="0"/>
              <w:left w:val="nil"/>
              <w:bottom w:val="single" w:color="auto" w:sz="4" w:space="0"/>
              <w:right w:val="single" w:color="auto" w:sz="4" w:space="0"/>
            </w:tcBorders>
            <w:vAlign w:val="center"/>
          </w:tcPr>
          <w:p w14:paraId="49FF04E7">
            <w:pPr>
              <w:widowControl/>
              <w:spacing w:line="240" w:lineRule="exact"/>
              <w:rPr>
                <w:rFonts w:hint="eastAsia" w:ascii="宋体" w:hAnsi="宋体" w:eastAsia="宋体" w:cs="宋体"/>
                <w:kern w:val="0"/>
                <w:sz w:val="18"/>
                <w:szCs w:val="18"/>
              </w:rPr>
            </w:pPr>
            <w:r>
              <w:rPr>
                <w:rFonts w:hint="eastAsia" w:ascii="宋体" w:hAnsi="宋体" w:eastAsia="宋体" w:cs="宋体"/>
                <w:kern w:val="0"/>
                <w:sz w:val="18"/>
                <w:szCs w:val="18"/>
              </w:rPr>
              <w:t>年度资金总额</w:t>
            </w:r>
          </w:p>
        </w:tc>
        <w:tc>
          <w:tcPr>
            <w:tcW w:w="1262" w:type="dxa"/>
            <w:tcBorders>
              <w:top w:val="nil"/>
              <w:left w:val="nil"/>
              <w:bottom w:val="single" w:color="auto" w:sz="4" w:space="0"/>
              <w:right w:val="single" w:color="auto" w:sz="4" w:space="0"/>
            </w:tcBorders>
            <w:vAlign w:val="center"/>
          </w:tcPr>
          <w:p w14:paraId="711CDC20">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56</w:t>
            </w:r>
          </w:p>
        </w:tc>
        <w:tc>
          <w:tcPr>
            <w:tcW w:w="1124" w:type="dxa"/>
            <w:gridSpan w:val="2"/>
            <w:tcBorders>
              <w:top w:val="nil"/>
              <w:left w:val="nil"/>
              <w:bottom w:val="single" w:color="auto" w:sz="4" w:space="0"/>
              <w:right w:val="single" w:color="auto" w:sz="4" w:space="0"/>
            </w:tcBorders>
            <w:vAlign w:val="center"/>
          </w:tcPr>
          <w:p w14:paraId="699432CE">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56</w:t>
            </w:r>
          </w:p>
        </w:tc>
        <w:tc>
          <w:tcPr>
            <w:tcW w:w="1187" w:type="dxa"/>
            <w:gridSpan w:val="2"/>
            <w:tcBorders>
              <w:top w:val="nil"/>
              <w:left w:val="nil"/>
              <w:bottom w:val="single" w:color="auto" w:sz="4" w:space="0"/>
              <w:right w:val="single" w:color="auto" w:sz="4" w:space="0"/>
            </w:tcBorders>
            <w:vAlign w:val="center"/>
          </w:tcPr>
          <w:p w14:paraId="69F64CB3">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56</w:t>
            </w:r>
          </w:p>
        </w:tc>
        <w:tc>
          <w:tcPr>
            <w:tcW w:w="763" w:type="dxa"/>
            <w:gridSpan w:val="2"/>
            <w:tcBorders>
              <w:top w:val="nil"/>
              <w:left w:val="nil"/>
              <w:bottom w:val="single" w:color="auto" w:sz="4" w:space="0"/>
              <w:right w:val="single" w:color="auto" w:sz="4" w:space="0"/>
            </w:tcBorders>
            <w:vAlign w:val="center"/>
          </w:tcPr>
          <w:p w14:paraId="7E1DCF28">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669" w:type="dxa"/>
            <w:tcBorders>
              <w:top w:val="single" w:color="auto" w:sz="4" w:space="0"/>
              <w:left w:val="nil"/>
              <w:bottom w:val="single" w:color="auto" w:sz="4" w:space="0"/>
              <w:right w:val="single" w:color="auto" w:sz="4" w:space="0"/>
            </w:tcBorders>
            <w:vAlign w:val="center"/>
          </w:tcPr>
          <w:p w14:paraId="5ED9226F">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100%</w:t>
            </w:r>
          </w:p>
        </w:tc>
        <w:tc>
          <w:tcPr>
            <w:tcW w:w="720" w:type="dxa"/>
            <w:tcBorders>
              <w:top w:val="nil"/>
              <w:left w:val="nil"/>
              <w:bottom w:val="single" w:color="auto" w:sz="4" w:space="0"/>
              <w:right w:val="single" w:color="auto" w:sz="4" w:space="0"/>
            </w:tcBorders>
            <w:vAlign w:val="center"/>
          </w:tcPr>
          <w:p w14:paraId="63EC060C">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r>
      <w:tr w14:paraId="58D95C74">
        <w:tblPrEx>
          <w:tblCellMar>
            <w:top w:w="0" w:type="dxa"/>
            <w:left w:w="108" w:type="dxa"/>
            <w:bottom w:w="0" w:type="dxa"/>
            <w:right w:w="108" w:type="dxa"/>
          </w:tblCellMar>
        </w:tblPrEx>
        <w:trPr>
          <w:trHeight w:val="291" w:hRule="exact"/>
          <w:jc w:val="center"/>
        </w:trPr>
        <w:tc>
          <w:tcPr>
            <w:tcW w:w="1389" w:type="dxa"/>
            <w:gridSpan w:val="2"/>
            <w:vMerge w:val="continue"/>
            <w:tcBorders>
              <w:top w:val="single" w:color="auto" w:sz="4" w:space="0"/>
              <w:left w:val="single" w:color="auto" w:sz="4" w:space="0"/>
              <w:bottom w:val="single" w:color="auto" w:sz="4" w:space="0"/>
              <w:right w:val="single" w:color="auto" w:sz="4" w:space="0"/>
            </w:tcBorders>
            <w:vAlign w:val="center"/>
          </w:tcPr>
          <w:p w14:paraId="1C08FBB7">
            <w:pPr>
              <w:widowControl/>
              <w:spacing w:line="240" w:lineRule="exact"/>
              <w:jc w:val="center"/>
              <w:rPr>
                <w:rFonts w:hint="eastAsia" w:ascii="宋体" w:hAnsi="宋体" w:eastAsia="宋体" w:cs="宋体"/>
                <w:kern w:val="0"/>
                <w:sz w:val="18"/>
                <w:szCs w:val="18"/>
              </w:rPr>
            </w:pPr>
          </w:p>
        </w:tc>
        <w:tc>
          <w:tcPr>
            <w:tcW w:w="1814" w:type="dxa"/>
            <w:gridSpan w:val="2"/>
            <w:tcBorders>
              <w:top w:val="single" w:color="auto" w:sz="4" w:space="0"/>
              <w:left w:val="nil"/>
              <w:bottom w:val="single" w:color="auto" w:sz="4" w:space="0"/>
              <w:right w:val="single" w:color="auto" w:sz="4" w:space="0"/>
            </w:tcBorders>
            <w:vAlign w:val="center"/>
          </w:tcPr>
          <w:p w14:paraId="407093F6">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其中：当年财政拨款</w:t>
            </w:r>
          </w:p>
        </w:tc>
        <w:tc>
          <w:tcPr>
            <w:tcW w:w="1262" w:type="dxa"/>
            <w:tcBorders>
              <w:top w:val="nil"/>
              <w:left w:val="nil"/>
              <w:bottom w:val="single" w:color="auto" w:sz="4" w:space="0"/>
              <w:right w:val="single" w:color="auto" w:sz="4" w:space="0"/>
            </w:tcBorders>
            <w:vAlign w:val="center"/>
          </w:tcPr>
          <w:p w14:paraId="4C6CF95E">
            <w:pPr>
              <w:widowControl/>
              <w:spacing w:line="240" w:lineRule="exact"/>
              <w:jc w:val="center"/>
              <w:rPr>
                <w:rFonts w:hint="eastAsia" w:ascii="宋体" w:hAnsi="宋体" w:eastAsia="宋体" w:cs="宋体"/>
                <w:b w:val="0"/>
                <w:bCs w:val="0"/>
                <w:kern w:val="0"/>
                <w:sz w:val="18"/>
                <w:szCs w:val="18"/>
              </w:rPr>
            </w:pPr>
            <w:r>
              <w:rPr>
                <w:rFonts w:hint="eastAsia" w:ascii="宋体" w:hAnsi="宋体" w:eastAsia="宋体" w:cs="宋体"/>
                <w:kern w:val="0"/>
                <w:sz w:val="18"/>
                <w:szCs w:val="18"/>
                <w:lang w:val="en-US" w:eastAsia="zh-CN"/>
              </w:rPr>
              <w:t>56</w:t>
            </w:r>
          </w:p>
        </w:tc>
        <w:tc>
          <w:tcPr>
            <w:tcW w:w="1124" w:type="dxa"/>
            <w:gridSpan w:val="2"/>
            <w:tcBorders>
              <w:top w:val="nil"/>
              <w:left w:val="nil"/>
              <w:bottom w:val="single" w:color="auto" w:sz="4" w:space="0"/>
              <w:right w:val="single" w:color="auto" w:sz="4" w:space="0"/>
            </w:tcBorders>
            <w:vAlign w:val="center"/>
          </w:tcPr>
          <w:p w14:paraId="1E1ADF9A">
            <w:pPr>
              <w:widowControl/>
              <w:spacing w:line="240" w:lineRule="exact"/>
              <w:jc w:val="center"/>
              <w:rPr>
                <w:rFonts w:hint="eastAsia" w:ascii="宋体" w:hAnsi="宋体" w:eastAsia="宋体" w:cs="宋体"/>
                <w:b w:val="0"/>
                <w:bCs w:val="0"/>
                <w:kern w:val="0"/>
                <w:sz w:val="18"/>
                <w:szCs w:val="18"/>
              </w:rPr>
            </w:pPr>
            <w:r>
              <w:rPr>
                <w:rFonts w:hint="eastAsia" w:ascii="宋体" w:hAnsi="宋体" w:eastAsia="宋体" w:cs="宋体"/>
                <w:kern w:val="0"/>
                <w:sz w:val="18"/>
                <w:szCs w:val="18"/>
                <w:lang w:val="en-US" w:eastAsia="zh-CN"/>
              </w:rPr>
              <w:t>56</w:t>
            </w:r>
          </w:p>
        </w:tc>
        <w:tc>
          <w:tcPr>
            <w:tcW w:w="1187" w:type="dxa"/>
            <w:gridSpan w:val="2"/>
            <w:tcBorders>
              <w:top w:val="nil"/>
              <w:left w:val="nil"/>
              <w:bottom w:val="single" w:color="auto" w:sz="4" w:space="0"/>
              <w:right w:val="single" w:color="auto" w:sz="4" w:space="0"/>
            </w:tcBorders>
            <w:vAlign w:val="center"/>
          </w:tcPr>
          <w:p w14:paraId="15FB92AA">
            <w:pPr>
              <w:widowControl/>
              <w:spacing w:line="240" w:lineRule="exact"/>
              <w:jc w:val="center"/>
              <w:rPr>
                <w:rFonts w:hint="eastAsia" w:ascii="宋体" w:hAnsi="宋体" w:eastAsia="宋体" w:cs="宋体"/>
                <w:b w:val="0"/>
                <w:bCs w:val="0"/>
                <w:kern w:val="0"/>
                <w:sz w:val="18"/>
                <w:szCs w:val="18"/>
              </w:rPr>
            </w:pPr>
            <w:r>
              <w:rPr>
                <w:rFonts w:hint="eastAsia" w:ascii="宋体" w:hAnsi="宋体" w:eastAsia="宋体" w:cs="宋体"/>
                <w:kern w:val="0"/>
                <w:sz w:val="18"/>
                <w:szCs w:val="18"/>
                <w:lang w:val="en-US" w:eastAsia="zh-CN"/>
              </w:rPr>
              <w:t>56</w:t>
            </w:r>
          </w:p>
        </w:tc>
        <w:tc>
          <w:tcPr>
            <w:tcW w:w="763" w:type="dxa"/>
            <w:gridSpan w:val="2"/>
            <w:tcBorders>
              <w:top w:val="nil"/>
              <w:left w:val="nil"/>
              <w:bottom w:val="single" w:color="auto" w:sz="4" w:space="0"/>
              <w:right w:val="single" w:color="auto" w:sz="4" w:space="0"/>
            </w:tcBorders>
            <w:shd w:val="clear" w:color="auto" w:fill="auto"/>
            <w:vAlign w:val="center"/>
          </w:tcPr>
          <w:p w14:paraId="59CD3EFC">
            <w:pPr>
              <w:widowControl/>
              <w:spacing w:line="240" w:lineRule="exact"/>
              <w:jc w:val="cente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10</w:t>
            </w:r>
          </w:p>
        </w:tc>
        <w:tc>
          <w:tcPr>
            <w:tcW w:w="669" w:type="dxa"/>
            <w:tcBorders>
              <w:top w:val="single" w:color="auto" w:sz="4" w:space="0"/>
              <w:left w:val="nil"/>
              <w:bottom w:val="single" w:color="auto" w:sz="4" w:space="0"/>
              <w:right w:val="single" w:color="auto" w:sz="4" w:space="0"/>
            </w:tcBorders>
            <w:shd w:val="clear" w:color="auto" w:fill="auto"/>
            <w:vAlign w:val="center"/>
          </w:tcPr>
          <w:p w14:paraId="23A20123">
            <w:pPr>
              <w:widowControl/>
              <w:spacing w:line="240" w:lineRule="exact"/>
              <w:jc w:val="cente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100%</w:t>
            </w:r>
          </w:p>
        </w:tc>
        <w:tc>
          <w:tcPr>
            <w:tcW w:w="720" w:type="dxa"/>
            <w:tcBorders>
              <w:top w:val="nil"/>
              <w:left w:val="nil"/>
              <w:bottom w:val="single" w:color="auto" w:sz="4" w:space="0"/>
              <w:right w:val="single" w:color="auto" w:sz="4" w:space="0"/>
            </w:tcBorders>
            <w:shd w:val="clear" w:color="auto" w:fill="auto"/>
            <w:vAlign w:val="center"/>
          </w:tcPr>
          <w:p w14:paraId="3E7ED0DA">
            <w:pPr>
              <w:widowControl/>
              <w:spacing w:line="240" w:lineRule="exact"/>
              <w:jc w:val="cente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10</w:t>
            </w:r>
          </w:p>
        </w:tc>
      </w:tr>
      <w:tr w14:paraId="0A560E3D">
        <w:tblPrEx>
          <w:tblCellMar>
            <w:top w:w="0" w:type="dxa"/>
            <w:left w:w="108" w:type="dxa"/>
            <w:bottom w:w="0" w:type="dxa"/>
            <w:right w:w="108" w:type="dxa"/>
          </w:tblCellMar>
        </w:tblPrEx>
        <w:trPr>
          <w:trHeight w:val="291" w:hRule="exact"/>
          <w:jc w:val="center"/>
        </w:trPr>
        <w:tc>
          <w:tcPr>
            <w:tcW w:w="1389" w:type="dxa"/>
            <w:gridSpan w:val="2"/>
            <w:vMerge w:val="continue"/>
            <w:tcBorders>
              <w:top w:val="single" w:color="auto" w:sz="4" w:space="0"/>
              <w:left w:val="single" w:color="auto" w:sz="4" w:space="0"/>
              <w:bottom w:val="single" w:color="auto" w:sz="4" w:space="0"/>
              <w:right w:val="single" w:color="auto" w:sz="4" w:space="0"/>
            </w:tcBorders>
            <w:vAlign w:val="center"/>
          </w:tcPr>
          <w:p w14:paraId="6555C45B">
            <w:pPr>
              <w:widowControl/>
              <w:spacing w:line="240" w:lineRule="exact"/>
              <w:jc w:val="center"/>
              <w:rPr>
                <w:rFonts w:hint="eastAsia" w:ascii="宋体" w:hAnsi="宋体" w:eastAsia="宋体" w:cs="宋体"/>
                <w:kern w:val="0"/>
                <w:sz w:val="18"/>
                <w:szCs w:val="18"/>
              </w:rPr>
            </w:pPr>
          </w:p>
        </w:tc>
        <w:tc>
          <w:tcPr>
            <w:tcW w:w="1814" w:type="dxa"/>
            <w:gridSpan w:val="2"/>
            <w:tcBorders>
              <w:top w:val="single" w:color="auto" w:sz="4" w:space="0"/>
              <w:left w:val="nil"/>
              <w:bottom w:val="single" w:color="auto" w:sz="4" w:space="0"/>
              <w:right w:val="single" w:color="auto" w:sz="4" w:space="0"/>
            </w:tcBorders>
            <w:vAlign w:val="center"/>
          </w:tcPr>
          <w:p w14:paraId="2072EC4D">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 xml:space="preserve">      上年结转资金</w:t>
            </w:r>
          </w:p>
        </w:tc>
        <w:tc>
          <w:tcPr>
            <w:tcW w:w="1262" w:type="dxa"/>
            <w:tcBorders>
              <w:top w:val="nil"/>
              <w:left w:val="nil"/>
              <w:bottom w:val="single" w:color="auto" w:sz="4" w:space="0"/>
              <w:right w:val="single" w:color="auto" w:sz="4" w:space="0"/>
            </w:tcBorders>
            <w:vAlign w:val="center"/>
          </w:tcPr>
          <w:p w14:paraId="6BBEFEAF">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0</w:t>
            </w:r>
          </w:p>
        </w:tc>
        <w:tc>
          <w:tcPr>
            <w:tcW w:w="1124" w:type="dxa"/>
            <w:gridSpan w:val="2"/>
            <w:tcBorders>
              <w:top w:val="nil"/>
              <w:left w:val="nil"/>
              <w:bottom w:val="single" w:color="auto" w:sz="4" w:space="0"/>
              <w:right w:val="single" w:color="auto" w:sz="4" w:space="0"/>
            </w:tcBorders>
            <w:vAlign w:val="center"/>
          </w:tcPr>
          <w:p w14:paraId="4BF416A2">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0</w:t>
            </w:r>
          </w:p>
        </w:tc>
        <w:tc>
          <w:tcPr>
            <w:tcW w:w="1187" w:type="dxa"/>
            <w:gridSpan w:val="2"/>
            <w:tcBorders>
              <w:top w:val="nil"/>
              <w:left w:val="nil"/>
              <w:bottom w:val="single" w:color="auto" w:sz="4" w:space="0"/>
              <w:right w:val="single" w:color="auto" w:sz="4" w:space="0"/>
            </w:tcBorders>
            <w:vAlign w:val="center"/>
          </w:tcPr>
          <w:p w14:paraId="36FE020F">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0</w:t>
            </w:r>
          </w:p>
        </w:tc>
        <w:tc>
          <w:tcPr>
            <w:tcW w:w="763" w:type="dxa"/>
            <w:gridSpan w:val="2"/>
            <w:tcBorders>
              <w:top w:val="nil"/>
              <w:left w:val="nil"/>
              <w:bottom w:val="single" w:color="auto" w:sz="4" w:space="0"/>
              <w:right w:val="single" w:color="auto" w:sz="4" w:space="0"/>
            </w:tcBorders>
            <w:vAlign w:val="center"/>
          </w:tcPr>
          <w:p w14:paraId="014D012F">
            <w:pPr>
              <w:widowControl/>
              <w:spacing w:line="240" w:lineRule="exact"/>
              <w:jc w:val="center"/>
              <w:rPr>
                <w:rFonts w:hint="eastAsia" w:ascii="宋体" w:hAnsi="宋体" w:eastAsia="宋体" w:cs="宋体"/>
                <w:kern w:val="0"/>
                <w:sz w:val="18"/>
                <w:szCs w:val="18"/>
              </w:rPr>
            </w:pPr>
          </w:p>
        </w:tc>
        <w:tc>
          <w:tcPr>
            <w:tcW w:w="669" w:type="dxa"/>
            <w:tcBorders>
              <w:top w:val="single" w:color="auto" w:sz="4" w:space="0"/>
              <w:left w:val="nil"/>
              <w:bottom w:val="single" w:color="auto" w:sz="4" w:space="0"/>
              <w:right w:val="single" w:color="auto" w:sz="4" w:space="0"/>
            </w:tcBorders>
            <w:vAlign w:val="center"/>
          </w:tcPr>
          <w:p w14:paraId="7DB312E1">
            <w:pPr>
              <w:widowControl/>
              <w:spacing w:line="240" w:lineRule="exact"/>
              <w:jc w:val="center"/>
              <w:rPr>
                <w:rFonts w:hint="eastAsia" w:ascii="宋体" w:hAnsi="宋体" w:eastAsia="宋体" w:cs="宋体"/>
                <w:kern w:val="0"/>
                <w:sz w:val="18"/>
                <w:szCs w:val="18"/>
              </w:rPr>
            </w:pPr>
          </w:p>
        </w:tc>
        <w:tc>
          <w:tcPr>
            <w:tcW w:w="720" w:type="dxa"/>
            <w:tcBorders>
              <w:top w:val="nil"/>
              <w:left w:val="nil"/>
              <w:bottom w:val="single" w:color="auto" w:sz="4" w:space="0"/>
              <w:right w:val="single" w:color="auto" w:sz="4" w:space="0"/>
            </w:tcBorders>
            <w:vAlign w:val="center"/>
          </w:tcPr>
          <w:p w14:paraId="17A1E8B0">
            <w:pPr>
              <w:widowControl/>
              <w:spacing w:line="240" w:lineRule="exact"/>
              <w:jc w:val="center"/>
              <w:rPr>
                <w:rFonts w:hint="eastAsia" w:ascii="宋体" w:hAnsi="宋体" w:eastAsia="宋体" w:cs="宋体"/>
                <w:kern w:val="0"/>
                <w:sz w:val="18"/>
                <w:szCs w:val="18"/>
              </w:rPr>
            </w:pPr>
          </w:p>
        </w:tc>
      </w:tr>
      <w:tr w14:paraId="2391E972">
        <w:tblPrEx>
          <w:tblCellMar>
            <w:top w:w="0" w:type="dxa"/>
            <w:left w:w="108" w:type="dxa"/>
            <w:bottom w:w="0" w:type="dxa"/>
            <w:right w:w="108" w:type="dxa"/>
          </w:tblCellMar>
        </w:tblPrEx>
        <w:trPr>
          <w:trHeight w:val="291" w:hRule="exact"/>
          <w:jc w:val="center"/>
        </w:trPr>
        <w:tc>
          <w:tcPr>
            <w:tcW w:w="1389" w:type="dxa"/>
            <w:gridSpan w:val="2"/>
            <w:vMerge w:val="continue"/>
            <w:tcBorders>
              <w:top w:val="single" w:color="auto" w:sz="4" w:space="0"/>
              <w:left w:val="single" w:color="auto" w:sz="4" w:space="0"/>
              <w:bottom w:val="single" w:color="auto" w:sz="4" w:space="0"/>
              <w:right w:val="single" w:color="auto" w:sz="4" w:space="0"/>
            </w:tcBorders>
            <w:vAlign w:val="center"/>
          </w:tcPr>
          <w:p w14:paraId="4A8C9F76">
            <w:pPr>
              <w:widowControl/>
              <w:spacing w:line="240" w:lineRule="exact"/>
              <w:jc w:val="center"/>
              <w:rPr>
                <w:rFonts w:hint="eastAsia" w:ascii="宋体" w:hAnsi="宋体" w:eastAsia="宋体" w:cs="宋体"/>
                <w:kern w:val="0"/>
                <w:sz w:val="18"/>
                <w:szCs w:val="18"/>
              </w:rPr>
            </w:pPr>
          </w:p>
        </w:tc>
        <w:tc>
          <w:tcPr>
            <w:tcW w:w="1814" w:type="dxa"/>
            <w:gridSpan w:val="2"/>
            <w:tcBorders>
              <w:top w:val="single" w:color="auto" w:sz="4" w:space="0"/>
              <w:left w:val="nil"/>
              <w:bottom w:val="single" w:color="auto" w:sz="4" w:space="0"/>
              <w:right w:val="single" w:color="auto" w:sz="4" w:space="0"/>
            </w:tcBorders>
            <w:vAlign w:val="center"/>
          </w:tcPr>
          <w:p w14:paraId="28E449D0">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 xml:space="preserve">  其他资金</w:t>
            </w:r>
          </w:p>
        </w:tc>
        <w:tc>
          <w:tcPr>
            <w:tcW w:w="1262" w:type="dxa"/>
            <w:tcBorders>
              <w:top w:val="nil"/>
              <w:left w:val="nil"/>
              <w:bottom w:val="single" w:color="auto" w:sz="4" w:space="0"/>
              <w:right w:val="single" w:color="auto" w:sz="4" w:space="0"/>
            </w:tcBorders>
            <w:vAlign w:val="center"/>
          </w:tcPr>
          <w:p w14:paraId="44280BB0">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0</w:t>
            </w:r>
          </w:p>
        </w:tc>
        <w:tc>
          <w:tcPr>
            <w:tcW w:w="1124" w:type="dxa"/>
            <w:gridSpan w:val="2"/>
            <w:tcBorders>
              <w:top w:val="nil"/>
              <w:left w:val="nil"/>
              <w:bottom w:val="single" w:color="auto" w:sz="4" w:space="0"/>
              <w:right w:val="single" w:color="auto" w:sz="4" w:space="0"/>
            </w:tcBorders>
            <w:vAlign w:val="center"/>
          </w:tcPr>
          <w:p w14:paraId="6C469F9C">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0</w:t>
            </w:r>
          </w:p>
        </w:tc>
        <w:tc>
          <w:tcPr>
            <w:tcW w:w="1187" w:type="dxa"/>
            <w:gridSpan w:val="2"/>
            <w:tcBorders>
              <w:top w:val="nil"/>
              <w:left w:val="nil"/>
              <w:bottom w:val="single" w:color="auto" w:sz="4" w:space="0"/>
              <w:right w:val="single" w:color="auto" w:sz="4" w:space="0"/>
            </w:tcBorders>
            <w:vAlign w:val="center"/>
          </w:tcPr>
          <w:p w14:paraId="57D60DAD">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0</w:t>
            </w:r>
          </w:p>
        </w:tc>
        <w:tc>
          <w:tcPr>
            <w:tcW w:w="763" w:type="dxa"/>
            <w:gridSpan w:val="2"/>
            <w:tcBorders>
              <w:top w:val="nil"/>
              <w:left w:val="nil"/>
              <w:bottom w:val="single" w:color="auto" w:sz="4" w:space="0"/>
              <w:right w:val="single" w:color="auto" w:sz="4" w:space="0"/>
            </w:tcBorders>
            <w:vAlign w:val="center"/>
          </w:tcPr>
          <w:p w14:paraId="72B91357">
            <w:pPr>
              <w:widowControl/>
              <w:spacing w:line="240" w:lineRule="exact"/>
              <w:jc w:val="center"/>
              <w:rPr>
                <w:rFonts w:hint="eastAsia" w:ascii="宋体" w:hAnsi="宋体" w:eastAsia="宋体" w:cs="宋体"/>
                <w:kern w:val="0"/>
                <w:sz w:val="18"/>
                <w:szCs w:val="18"/>
              </w:rPr>
            </w:pPr>
          </w:p>
        </w:tc>
        <w:tc>
          <w:tcPr>
            <w:tcW w:w="669" w:type="dxa"/>
            <w:tcBorders>
              <w:top w:val="single" w:color="auto" w:sz="4" w:space="0"/>
              <w:left w:val="nil"/>
              <w:bottom w:val="single" w:color="auto" w:sz="4" w:space="0"/>
              <w:right w:val="single" w:color="auto" w:sz="4" w:space="0"/>
            </w:tcBorders>
            <w:vAlign w:val="center"/>
          </w:tcPr>
          <w:p w14:paraId="69969C44">
            <w:pPr>
              <w:widowControl/>
              <w:spacing w:line="240" w:lineRule="exact"/>
              <w:jc w:val="center"/>
              <w:rPr>
                <w:rFonts w:hint="eastAsia" w:ascii="宋体" w:hAnsi="宋体" w:eastAsia="宋体" w:cs="宋体"/>
                <w:kern w:val="0"/>
                <w:sz w:val="18"/>
                <w:szCs w:val="18"/>
              </w:rPr>
            </w:pPr>
          </w:p>
        </w:tc>
        <w:tc>
          <w:tcPr>
            <w:tcW w:w="720" w:type="dxa"/>
            <w:tcBorders>
              <w:top w:val="nil"/>
              <w:left w:val="nil"/>
              <w:bottom w:val="single" w:color="auto" w:sz="4" w:space="0"/>
              <w:right w:val="single" w:color="auto" w:sz="4" w:space="0"/>
            </w:tcBorders>
            <w:vAlign w:val="center"/>
          </w:tcPr>
          <w:p w14:paraId="58C390EA">
            <w:pPr>
              <w:widowControl/>
              <w:spacing w:line="240" w:lineRule="exact"/>
              <w:jc w:val="center"/>
              <w:rPr>
                <w:rFonts w:hint="eastAsia" w:ascii="宋体" w:hAnsi="宋体" w:eastAsia="宋体" w:cs="宋体"/>
                <w:kern w:val="0"/>
                <w:sz w:val="18"/>
                <w:szCs w:val="18"/>
              </w:rPr>
            </w:pPr>
          </w:p>
        </w:tc>
      </w:tr>
      <w:tr w14:paraId="6F96FC71">
        <w:tblPrEx>
          <w:tblCellMar>
            <w:top w:w="0" w:type="dxa"/>
            <w:left w:w="108" w:type="dxa"/>
            <w:bottom w:w="0" w:type="dxa"/>
            <w:right w:w="108" w:type="dxa"/>
          </w:tblCellMar>
        </w:tblPrEx>
        <w:trPr>
          <w:trHeight w:val="291" w:hRule="exact"/>
          <w:jc w:val="center"/>
        </w:trPr>
        <w:tc>
          <w:tcPr>
            <w:tcW w:w="578" w:type="dxa"/>
            <w:vMerge w:val="restart"/>
            <w:tcBorders>
              <w:top w:val="nil"/>
              <w:left w:val="single" w:color="auto" w:sz="4" w:space="0"/>
              <w:bottom w:val="single" w:color="auto" w:sz="4" w:space="0"/>
              <w:right w:val="single" w:color="auto" w:sz="4" w:space="0"/>
            </w:tcBorders>
            <w:vAlign w:val="center"/>
          </w:tcPr>
          <w:p w14:paraId="160559ED">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年度总体目标</w:t>
            </w:r>
          </w:p>
        </w:tc>
        <w:tc>
          <w:tcPr>
            <w:tcW w:w="5011" w:type="dxa"/>
            <w:gridSpan w:val="6"/>
            <w:tcBorders>
              <w:top w:val="single" w:color="auto" w:sz="4" w:space="0"/>
              <w:left w:val="nil"/>
              <w:bottom w:val="single" w:color="auto" w:sz="4" w:space="0"/>
              <w:right w:val="single" w:color="auto" w:sz="4" w:space="0"/>
            </w:tcBorders>
            <w:vAlign w:val="center"/>
          </w:tcPr>
          <w:p w14:paraId="270B29F2">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预期目标</w:t>
            </w:r>
          </w:p>
        </w:tc>
        <w:tc>
          <w:tcPr>
            <w:tcW w:w="3339" w:type="dxa"/>
            <w:gridSpan w:val="6"/>
            <w:tcBorders>
              <w:top w:val="single" w:color="auto" w:sz="4" w:space="0"/>
              <w:left w:val="nil"/>
              <w:bottom w:val="single" w:color="auto" w:sz="4" w:space="0"/>
              <w:right w:val="single" w:color="auto" w:sz="4" w:space="0"/>
            </w:tcBorders>
            <w:vAlign w:val="center"/>
          </w:tcPr>
          <w:p w14:paraId="1AAC290E">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实际完成情况</w:t>
            </w:r>
          </w:p>
        </w:tc>
      </w:tr>
      <w:tr w14:paraId="0FF12CBF">
        <w:tblPrEx>
          <w:tblCellMar>
            <w:top w:w="0" w:type="dxa"/>
            <w:left w:w="108" w:type="dxa"/>
            <w:bottom w:w="0" w:type="dxa"/>
            <w:right w:w="108" w:type="dxa"/>
          </w:tblCellMar>
        </w:tblPrEx>
        <w:trPr>
          <w:trHeight w:val="3771" w:hRule="exact"/>
          <w:jc w:val="center"/>
        </w:trPr>
        <w:tc>
          <w:tcPr>
            <w:tcW w:w="578" w:type="dxa"/>
            <w:vMerge w:val="continue"/>
            <w:tcBorders>
              <w:top w:val="nil"/>
              <w:left w:val="single" w:color="auto" w:sz="4" w:space="0"/>
              <w:bottom w:val="single" w:color="auto" w:sz="4" w:space="0"/>
              <w:right w:val="single" w:color="auto" w:sz="4" w:space="0"/>
            </w:tcBorders>
            <w:vAlign w:val="center"/>
          </w:tcPr>
          <w:p w14:paraId="66EB7604">
            <w:pPr>
              <w:widowControl/>
              <w:spacing w:line="240" w:lineRule="exact"/>
              <w:jc w:val="center"/>
              <w:rPr>
                <w:rFonts w:hint="eastAsia" w:ascii="宋体" w:hAnsi="宋体" w:eastAsia="宋体" w:cs="宋体"/>
                <w:kern w:val="0"/>
                <w:sz w:val="18"/>
                <w:szCs w:val="18"/>
              </w:rPr>
            </w:pPr>
          </w:p>
        </w:tc>
        <w:tc>
          <w:tcPr>
            <w:tcW w:w="5011" w:type="dxa"/>
            <w:gridSpan w:val="6"/>
            <w:tcBorders>
              <w:top w:val="single" w:color="auto" w:sz="4" w:space="0"/>
              <w:left w:val="nil"/>
              <w:bottom w:val="single" w:color="auto" w:sz="4" w:space="0"/>
              <w:right w:val="single" w:color="auto" w:sz="4" w:space="0"/>
            </w:tcBorders>
            <w:vAlign w:val="center"/>
          </w:tcPr>
          <w:p w14:paraId="5A0775FB">
            <w:pPr>
              <w:widowControl/>
              <w:spacing w:line="240" w:lineRule="exact"/>
              <w:jc w:val="left"/>
              <w:rPr>
                <w:rFonts w:hint="eastAsia" w:ascii="宋体" w:hAnsi="宋体" w:eastAsia="宋体" w:cs="宋体"/>
                <w:kern w:val="0"/>
                <w:sz w:val="18"/>
                <w:szCs w:val="18"/>
              </w:rPr>
            </w:pPr>
            <w:r>
              <w:rPr>
                <w:rFonts w:hint="eastAsia" w:ascii="宋体" w:hAnsi="宋体" w:eastAsia="宋体" w:cs="宋体"/>
                <w:kern w:val="0"/>
                <w:sz w:val="18"/>
                <w:szCs w:val="18"/>
              </w:rPr>
              <w:t>西城区-门头沟区结对协作华远华中心商业及酒店项目是两区共同商议解决华远集团在门头沟区开发的酒店、商场等闲置资产问题。两区共同期望和支持华远集团解决、盘活项目的闲置资源，减轻两区的财政压力。项目地点适合开发一座经过精心设计的精选服务国际品牌酒店。项目酒店部门以高知名度、颇具竞争力的价格、填补市场空白的全新高品质产品，提供给客人一种高品质以及环保的体验。同时确保拟建酒店在门头沟这样的市场形势下实现一个合理的收益。</w:t>
            </w:r>
          </w:p>
        </w:tc>
        <w:tc>
          <w:tcPr>
            <w:tcW w:w="3339" w:type="dxa"/>
            <w:gridSpan w:val="6"/>
            <w:tcBorders>
              <w:top w:val="single" w:color="auto" w:sz="4" w:space="0"/>
              <w:left w:val="nil"/>
              <w:bottom w:val="single" w:color="auto" w:sz="4" w:space="0"/>
              <w:right w:val="single" w:color="auto" w:sz="4" w:space="0"/>
            </w:tcBorders>
            <w:vAlign w:val="center"/>
          </w:tcPr>
          <w:p w14:paraId="0A10D33F">
            <w:pPr>
              <w:widowControl/>
              <w:spacing w:line="240" w:lineRule="exact"/>
              <w:jc w:val="left"/>
              <w:rPr>
                <w:rFonts w:hint="eastAsia" w:ascii="宋体" w:hAnsi="宋体" w:eastAsia="宋体" w:cs="宋体"/>
                <w:kern w:val="0"/>
                <w:sz w:val="18"/>
                <w:szCs w:val="18"/>
              </w:rPr>
            </w:pPr>
            <w:r>
              <w:rPr>
                <w:rFonts w:hint="eastAsia" w:ascii="宋体" w:hAnsi="宋体" w:eastAsia="宋体" w:cs="宋体"/>
                <w:kern w:val="0"/>
                <w:sz w:val="18"/>
                <w:szCs w:val="18"/>
              </w:rPr>
              <w:t>2024 年，西城区 - 门头沟区结对协作华远华中心商业及酒店项目推进成效显著。2024 商业开业，底招商率超 97%，引入盒马生鲜等 3 家区域首店及 11 家首进品牌，客流破 60 万；酒店业态完成市场调研、可行性论证及洲际品牌选定，获批的 56 万元国资预算资金全用于前期设计费，2024 年 12 月底付 64.35 万元进度款，资金无结余。</w:t>
            </w:r>
          </w:p>
        </w:tc>
      </w:tr>
      <w:tr w14:paraId="1164F26D">
        <w:tblPrEx>
          <w:tblCellMar>
            <w:top w:w="0" w:type="dxa"/>
            <w:left w:w="108" w:type="dxa"/>
            <w:bottom w:w="0" w:type="dxa"/>
            <w:right w:w="108" w:type="dxa"/>
          </w:tblCellMar>
        </w:tblPrEx>
        <w:trPr>
          <w:trHeight w:val="517" w:hRule="exact"/>
          <w:jc w:val="center"/>
        </w:trPr>
        <w:tc>
          <w:tcPr>
            <w:tcW w:w="578" w:type="dxa"/>
            <w:vMerge w:val="restart"/>
            <w:tcBorders>
              <w:top w:val="nil"/>
              <w:left w:val="single" w:color="auto" w:sz="4" w:space="0"/>
              <w:right w:val="single" w:color="auto" w:sz="4" w:space="0"/>
            </w:tcBorders>
            <w:vAlign w:val="center"/>
          </w:tcPr>
          <w:p w14:paraId="7C6C8433">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绩</w:t>
            </w:r>
            <w:r>
              <w:rPr>
                <w:rFonts w:hint="eastAsia" w:ascii="宋体" w:hAnsi="宋体" w:eastAsia="宋体" w:cs="宋体"/>
                <w:kern w:val="0"/>
                <w:sz w:val="18"/>
                <w:szCs w:val="18"/>
              </w:rPr>
              <w:br w:type="textWrapping"/>
            </w:r>
            <w:r>
              <w:rPr>
                <w:rFonts w:hint="eastAsia" w:ascii="宋体" w:hAnsi="宋体" w:eastAsia="宋体" w:cs="宋体"/>
                <w:kern w:val="0"/>
                <w:sz w:val="18"/>
                <w:szCs w:val="18"/>
              </w:rPr>
              <w:t>效</w:t>
            </w:r>
            <w:r>
              <w:rPr>
                <w:rFonts w:hint="eastAsia" w:ascii="宋体" w:hAnsi="宋体" w:eastAsia="宋体" w:cs="宋体"/>
                <w:kern w:val="0"/>
                <w:sz w:val="18"/>
                <w:szCs w:val="18"/>
              </w:rPr>
              <w:br w:type="textWrapping"/>
            </w:r>
            <w:r>
              <w:rPr>
                <w:rFonts w:hint="eastAsia" w:ascii="宋体" w:hAnsi="宋体" w:eastAsia="宋体" w:cs="宋体"/>
                <w:kern w:val="0"/>
                <w:sz w:val="18"/>
                <w:szCs w:val="18"/>
              </w:rPr>
              <w:t>指</w:t>
            </w:r>
            <w:r>
              <w:rPr>
                <w:rFonts w:hint="eastAsia" w:ascii="宋体" w:hAnsi="宋体" w:eastAsia="宋体" w:cs="宋体"/>
                <w:kern w:val="0"/>
                <w:sz w:val="18"/>
                <w:szCs w:val="18"/>
              </w:rPr>
              <w:br w:type="textWrapping"/>
            </w:r>
            <w:r>
              <w:rPr>
                <w:rFonts w:hint="eastAsia" w:ascii="宋体" w:hAnsi="宋体" w:eastAsia="宋体" w:cs="宋体"/>
                <w:kern w:val="0"/>
                <w:sz w:val="18"/>
                <w:szCs w:val="18"/>
              </w:rPr>
              <w:t>标</w:t>
            </w:r>
          </w:p>
        </w:tc>
        <w:tc>
          <w:tcPr>
            <w:tcW w:w="811" w:type="dxa"/>
            <w:tcBorders>
              <w:top w:val="nil"/>
              <w:left w:val="nil"/>
              <w:bottom w:val="single" w:color="auto" w:sz="4" w:space="0"/>
              <w:right w:val="single" w:color="auto" w:sz="4" w:space="0"/>
            </w:tcBorders>
            <w:vAlign w:val="center"/>
          </w:tcPr>
          <w:p w14:paraId="0CC76ECC">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一级指标</w:t>
            </w:r>
          </w:p>
        </w:tc>
        <w:tc>
          <w:tcPr>
            <w:tcW w:w="1244" w:type="dxa"/>
            <w:tcBorders>
              <w:top w:val="nil"/>
              <w:left w:val="nil"/>
              <w:bottom w:val="single" w:color="auto" w:sz="4" w:space="0"/>
              <w:right w:val="single" w:color="auto" w:sz="4" w:space="0"/>
            </w:tcBorders>
            <w:vAlign w:val="center"/>
          </w:tcPr>
          <w:p w14:paraId="4AA6FC01">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二级指标</w:t>
            </w:r>
          </w:p>
        </w:tc>
        <w:tc>
          <w:tcPr>
            <w:tcW w:w="2111" w:type="dxa"/>
            <w:gridSpan w:val="3"/>
            <w:tcBorders>
              <w:top w:val="single" w:color="auto" w:sz="4" w:space="0"/>
              <w:left w:val="nil"/>
              <w:bottom w:val="single" w:color="auto" w:sz="4" w:space="0"/>
              <w:right w:val="single" w:color="auto" w:sz="4" w:space="0"/>
            </w:tcBorders>
            <w:vAlign w:val="center"/>
          </w:tcPr>
          <w:p w14:paraId="3ED5BBF3">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三级指标</w:t>
            </w:r>
          </w:p>
        </w:tc>
        <w:tc>
          <w:tcPr>
            <w:tcW w:w="845" w:type="dxa"/>
            <w:tcBorders>
              <w:top w:val="nil"/>
              <w:left w:val="nil"/>
              <w:bottom w:val="single" w:color="auto" w:sz="4" w:space="0"/>
              <w:right w:val="single" w:color="auto" w:sz="4" w:space="0"/>
            </w:tcBorders>
            <w:vAlign w:val="center"/>
          </w:tcPr>
          <w:p w14:paraId="09BE0F35">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年度</w:t>
            </w:r>
          </w:p>
          <w:p w14:paraId="4CA5B321">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指标值</w:t>
            </w:r>
          </w:p>
        </w:tc>
        <w:tc>
          <w:tcPr>
            <w:tcW w:w="831" w:type="dxa"/>
            <w:tcBorders>
              <w:top w:val="nil"/>
              <w:left w:val="nil"/>
              <w:bottom w:val="single" w:color="auto" w:sz="4" w:space="0"/>
              <w:right w:val="single" w:color="auto" w:sz="4" w:space="0"/>
            </w:tcBorders>
            <w:vAlign w:val="center"/>
          </w:tcPr>
          <w:p w14:paraId="436A0B25">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实际</w:t>
            </w:r>
          </w:p>
          <w:p w14:paraId="773A8532">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完成值</w:t>
            </w:r>
          </w:p>
        </w:tc>
        <w:tc>
          <w:tcPr>
            <w:tcW w:w="557" w:type="dxa"/>
            <w:gridSpan w:val="2"/>
            <w:tcBorders>
              <w:top w:val="nil"/>
              <w:left w:val="nil"/>
              <w:bottom w:val="single" w:color="auto" w:sz="4" w:space="0"/>
              <w:right w:val="single" w:color="auto" w:sz="4" w:space="0"/>
            </w:tcBorders>
            <w:vAlign w:val="center"/>
          </w:tcPr>
          <w:p w14:paraId="104F4A2C">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分值</w:t>
            </w:r>
          </w:p>
        </w:tc>
        <w:tc>
          <w:tcPr>
            <w:tcW w:w="562" w:type="dxa"/>
            <w:tcBorders>
              <w:top w:val="nil"/>
              <w:left w:val="nil"/>
              <w:bottom w:val="single" w:color="auto" w:sz="4" w:space="0"/>
              <w:right w:val="single" w:color="auto" w:sz="4" w:space="0"/>
            </w:tcBorders>
            <w:vAlign w:val="center"/>
          </w:tcPr>
          <w:p w14:paraId="106F1521">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得分</w:t>
            </w:r>
          </w:p>
        </w:tc>
        <w:tc>
          <w:tcPr>
            <w:tcW w:w="1389" w:type="dxa"/>
            <w:gridSpan w:val="2"/>
            <w:tcBorders>
              <w:top w:val="single" w:color="auto" w:sz="4" w:space="0"/>
              <w:left w:val="nil"/>
              <w:bottom w:val="single" w:color="auto" w:sz="4" w:space="0"/>
              <w:right w:val="single" w:color="auto" w:sz="4" w:space="0"/>
            </w:tcBorders>
            <w:vAlign w:val="center"/>
          </w:tcPr>
          <w:p w14:paraId="4416CC63">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偏差原因分析及改进措施</w:t>
            </w:r>
          </w:p>
        </w:tc>
      </w:tr>
      <w:tr w14:paraId="4A76EBE5">
        <w:tblPrEx>
          <w:tblCellMar>
            <w:top w:w="0" w:type="dxa"/>
            <w:left w:w="108" w:type="dxa"/>
            <w:bottom w:w="0" w:type="dxa"/>
            <w:right w:w="108" w:type="dxa"/>
          </w:tblCellMar>
        </w:tblPrEx>
        <w:trPr>
          <w:trHeight w:val="1720" w:hRule="exact"/>
          <w:jc w:val="center"/>
        </w:trPr>
        <w:tc>
          <w:tcPr>
            <w:tcW w:w="578" w:type="dxa"/>
            <w:vMerge w:val="continue"/>
            <w:tcBorders>
              <w:left w:val="single" w:color="auto" w:sz="4" w:space="0"/>
              <w:right w:val="single" w:color="auto" w:sz="4" w:space="0"/>
            </w:tcBorders>
            <w:vAlign w:val="center"/>
          </w:tcPr>
          <w:p w14:paraId="25B33862">
            <w:pPr>
              <w:widowControl/>
              <w:spacing w:line="240" w:lineRule="exact"/>
              <w:jc w:val="center"/>
              <w:rPr>
                <w:rFonts w:hint="eastAsia" w:ascii="宋体" w:hAnsi="宋体" w:eastAsia="宋体" w:cs="宋体"/>
                <w:kern w:val="0"/>
                <w:sz w:val="18"/>
                <w:szCs w:val="18"/>
              </w:rPr>
            </w:pPr>
          </w:p>
        </w:tc>
        <w:tc>
          <w:tcPr>
            <w:tcW w:w="811" w:type="dxa"/>
            <w:vMerge w:val="restart"/>
            <w:tcBorders>
              <w:top w:val="nil"/>
              <w:left w:val="single" w:color="auto" w:sz="4" w:space="0"/>
              <w:bottom w:val="single" w:color="auto" w:sz="4" w:space="0"/>
              <w:right w:val="single" w:color="auto" w:sz="4" w:space="0"/>
            </w:tcBorders>
            <w:vAlign w:val="center"/>
          </w:tcPr>
          <w:p w14:paraId="63AA3028">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产出指标</w:t>
            </w:r>
          </w:p>
        </w:tc>
        <w:tc>
          <w:tcPr>
            <w:tcW w:w="1244" w:type="dxa"/>
            <w:tcBorders>
              <w:top w:val="nil"/>
              <w:left w:val="single" w:color="auto" w:sz="4" w:space="0"/>
              <w:bottom w:val="single" w:color="auto" w:sz="4" w:space="0"/>
              <w:right w:val="single" w:color="auto" w:sz="4" w:space="0"/>
            </w:tcBorders>
            <w:vAlign w:val="center"/>
          </w:tcPr>
          <w:p w14:paraId="16F1D030">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数量指标</w:t>
            </w:r>
          </w:p>
        </w:tc>
        <w:tc>
          <w:tcPr>
            <w:tcW w:w="2111" w:type="dxa"/>
            <w:gridSpan w:val="3"/>
            <w:tcBorders>
              <w:top w:val="single" w:color="auto" w:sz="4" w:space="0"/>
              <w:left w:val="nil"/>
              <w:right w:val="single" w:color="auto" w:sz="4" w:space="0"/>
            </w:tcBorders>
            <w:vAlign w:val="center"/>
          </w:tcPr>
          <w:p w14:paraId="1779236D">
            <w:pPr>
              <w:widowControl/>
              <w:spacing w:line="240" w:lineRule="exact"/>
              <w:jc w:val="left"/>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2024年内完成门头沟华中心项目公司经营团队组建。24年内完成商业部分建面逾3万m2的改造筹开。24年完成酒店定位方案及客房数量约200间的方案设计</w:t>
            </w:r>
          </w:p>
        </w:tc>
        <w:tc>
          <w:tcPr>
            <w:tcW w:w="845" w:type="dxa"/>
            <w:tcBorders>
              <w:top w:val="single" w:color="auto" w:sz="4" w:space="0"/>
              <w:left w:val="single" w:color="auto" w:sz="4" w:space="0"/>
              <w:bottom w:val="single" w:color="auto" w:sz="4" w:space="0"/>
              <w:right w:val="single" w:color="auto" w:sz="4" w:space="0"/>
            </w:tcBorders>
            <w:vAlign w:val="center"/>
          </w:tcPr>
          <w:p w14:paraId="1A2D19CA">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商业改造面积&gt;</w:t>
            </w:r>
            <w:r>
              <w:rPr>
                <w:rFonts w:hint="eastAsia" w:ascii="宋体" w:hAnsi="宋体" w:eastAsia="宋体" w:cs="宋体"/>
                <w:color w:val="000000"/>
                <w:kern w:val="0"/>
                <w:sz w:val="18"/>
                <w:szCs w:val="18"/>
              </w:rPr>
              <w:t>3万m2，24年完成酒店定位方案及客房方案设计</w:t>
            </w:r>
          </w:p>
        </w:tc>
        <w:tc>
          <w:tcPr>
            <w:tcW w:w="831" w:type="dxa"/>
            <w:tcBorders>
              <w:top w:val="single" w:color="auto" w:sz="4" w:space="0"/>
              <w:left w:val="single" w:color="auto" w:sz="4" w:space="0"/>
              <w:bottom w:val="single" w:color="auto" w:sz="4" w:space="0"/>
              <w:right w:val="single" w:color="auto" w:sz="4" w:space="0"/>
            </w:tcBorders>
            <w:vAlign w:val="center"/>
          </w:tcPr>
          <w:p w14:paraId="266643FF">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&gt;3万m2</w:t>
            </w:r>
          </w:p>
        </w:tc>
        <w:tc>
          <w:tcPr>
            <w:tcW w:w="557" w:type="dxa"/>
            <w:gridSpan w:val="2"/>
            <w:tcBorders>
              <w:top w:val="single" w:color="auto" w:sz="4" w:space="0"/>
              <w:left w:val="single" w:color="auto" w:sz="4" w:space="0"/>
              <w:bottom w:val="single" w:color="auto" w:sz="4" w:space="0"/>
              <w:right w:val="single" w:color="auto" w:sz="4" w:space="0"/>
            </w:tcBorders>
            <w:vAlign w:val="center"/>
          </w:tcPr>
          <w:p w14:paraId="64403E47">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20</w:t>
            </w:r>
          </w:p>
        </w:tc>
        <w:tc>
          <w:tcPr>
            <w:tcW w:w="562" w:type="dxa"/>
            <w:tcBorders>
              <w:top w:val="single" w:color="auto" w:sz="4" w:space="0"/>
              <w:left w:val="single" w:color="auto" w:sz="4" w:space="0"/>
              <w:bottom w:val="single" w:color="auto" w:sz="4" w:space="0"/>
              <w:right w:val="single" w:color="auto" w:sz="4" w:space="0"/>
            </w:tcBorders>
            <w:vAlign w:val="center"/>
          </w:tcPr>
          <w:p w14:paraId="0C7CE521">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18</w:t>
            </w:r>
          </w:p>
        </w:tc>
        <w:tc>
          <w:tcPr>
            <w:tcW w:w="1389" w:type="dxa"/>
            <w:gridSpan w:val="2"/>
            <w:tcBorders>
              <w:top w:val="single" w:color="auto" w:sz="4" w:space="0"/>
              <w:left w:val="single" w:color="auto" w:sz="4" w:space="0"/>
              <w:bottom w:val="single" w:color="auto" w:sz="4" w:space="0"/>
              <w:right w:val="single" w:color="auto" w:sz="4" w:space="0"/>
            </w:tcBorders>
            <w:vAlign w:val="center"/>
          </w:tcPr>
          <w:p w14:paraId="5D271FFB">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受洪灾影响， 年底酒店客房设计已于11月启动</w:t>
            </w:r>
          </w:p>
        </w:tc>
      </w:tr>
      <w:tr w14:paraId="24F1017B">
        <w:tblPrEx>
          <w:tblCellMar>
            <w:top w:w="0" w:type="dxa"/>
            <w:left w:w="108" w:type="dxa"/>
            <w:bottom w:w="0" w:type="dxa"/>
            <w:right w:w="108" w:type="dxa"/>
          </w:tblCellMar>
        </w:tblPrEx>
        <w:trPr>
          <w:trHeight w:val="1366" w:hRule="exact"/>
          <w:jc w:val="center"/>
        </w:trPr>
        <w:tc>
          <w:tcPr>
            <w:tcW w:w="578" w:type="dxa"/>
            <w:vMerge w:val="continue"/>
            <w:tcBorders>
              <w:left w:val="single" w:color="auto" w:sz="4" w:space="0"/>
              <w:right w:val="single" w:color="auto" w:sz="4" w:space="0"/>
            </w:tcBorders>
            <w:vAlign w:val="center"/>
          </w:tcPr>
          <w:p w14:paraId="6C6D380C">
            <w:pPr>
              <w:widowControl/>
              <w:spacing w:line="240" w:lineRule="exact"/>
              <w:jc w:val="center"/>
              <w:rPr>
                <w:rFonts w:hint="eastAsia" w:ascii="宋体" w:hAnsi="宋体" w:eastAsia="宋体" w:cs="宋体"/>
                <w:kern w:val="0"/>
                <w:sz w:val="18"/>
                <w:szCs w:val="18"/>
              </w:rPr>
            </w:pPr>
          </w:p>
        </w:tc>
        <w:tc>
          <w:tcPr>
            <w:tcW w:w="811" w:type="dxa"/>
            <w:vMerge w:val="continue"/>
            <w:tcBorders>
              <w:top w:val="nil"/>
              <w:left w:val="single" w:color="auto" w:sz="4" w:space="0"/>
              <w:bottom w:val="single" w:color="auto" w:sz="4" w:space="0"/>
              <w:right w:val="single" w:color="auto" w:sz="4" w:space="0"/>
            </w:tcBorders>
            <w:vAlign w:val="center"/>
          </w:tcPr>
          <w:p w14:paraId="1DF117C4">
            <w:pPr>
              <w:widowControl/>
              <w:spacing w:line="240" w:lineRule="exact"/>
              <w:jc w:val="center"/>
              <w:rPr>
                <w:rFonts w:hint="eastAsia" w:ascii="宋体" w:hAnsi="宋体" w:eastAsia="宋体" w:cs="宋体"/>
                <w:kern w:val="0"/>
                <w:sz w:val="18"/>
                <w:szCs w:val="18"/>
              </w:rPr>
            </w:pPr>
          </w:p>
        </w:tc>
        <w:tc>
          <w:tcPr>
            <w:tcW w:w="1244" w:type="dxa"/>
            <w:tcBorders>
              <w:top w:val="nil"/>
              <w:left w:val="single" w:color="auto" w:sz="4" w:space="0"/>
              <w:bottom w:val="single" w:color="auto" w:sz="4" w:space="0"/>
              <w:right w:val="single" w:color="auto" w:sz="4" w:space="0"/>
            </w:tcBorders>
            <w:vAlign w:val="center"/>
          </w:tcPr>
          <w:p w14:paraId="4125ED8B">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质量指标</w:t>
            </w:r>
          </w:p>
        </w:tc>
        <w:tc>
          <w:tcPr>
            <w:tcW w:w="2111" w:type="dxa"/>
            <w:gridSpan w:val="3"/>
            <w:tcBorders>
              <w:top w:val="single" w:color="auto" w:sz="4" w:space="0"/>
              <w:left w:val="nil"/>
              <w:right w:val="single" w:color="auto" w:sz="4" w:space="0"/>
            </w:tcBorders>
            <w:vAlign w:val="center"/>
          </w:tcPr>
          <w:p w14:paraId="01AEC763">
            <w:pPr>
              <w:widowControl/>
              <w:spacing w:line="240" w:lineRule="exact"/>
              <w:jc w:val="left"/>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推动商业提质升级，助力门头沟城市快速发展，引入亲子互动、运动娱乐、新消费零售等业态及品牌入驻。</w:t>
            </w:r>
          </w:p>
        </w:tc>
        <w:tc>
          <w:tcPr>
            <w:tcW w:w="845" w:type="dxa"/>
            <w:tcBorders>
              <w:top w:val="single" w:color="auto" w:sz="4" w:space="0"/>
              <w:left w:val="single" w:color="auto" w:sz="4" w:space="0"/>
              <w:bottom w:val="single" w:color="auto" w:sz="4" w:space="0"/>
              <w:right w:val="single" w:color="auto" w:sz="4" w:space="0"/>
            </w:tcBorders>
            <w:vAlign w:val="center"/>
          </w:tcPr>
          <w:p w14:paraId="1EC828B4">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引入多个零售业态品牌入驻</w:t>
            </w:r>
          </w:p>
        </w:tc>
        <w:tc>
          <w:tcPr>
            <w:tcW w:w="831" w:type="dxa"/>
            <w:tcBorders>
              <w:top w:val="single" w:color="auto" w:sz="4" w:space="0"/>
              <w:left w:val="single" w:color="auto" w:sz="4" w:space="0"/>
              <w:bottom w:val="single" w:color="auto" w:sz="4" w:space="0"/>
              <w:right w:val="single" w:color="auto" w:sz="4" w:space="0"/>
            </w:tcBorders>
            <w:vAlign w:val="center"/>
          </w:tcPr>
          <w:p w14:paraId="2349C059">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已完成</w:t>
            </w:r>
          </w:p>
        </w:tc>
        <w:tc>
          <w:tcPr>
            <w:tcW w:w="557" w:type="dxa"/>
            <w:gridSpan w:val="2"/>
            <w:tcBorders>
              <w:top w:val="single" w:color="auto" w:sz="4" w:space="0"/>
              <w:left w:val="single" w:color="auto" w:sz="4" w:space="0"/>
              <w:bottom w:val="single" w:color="auto" w:sz="4" w:space="0"/>
              <w:right w:val="single" w:color="auto" w:sz="4" w:space="0"/>
            </w:tcBorders>
            <w:vAlign w:val="center"/>
          </w:tcPr>
          <w:p w14:paraId="1C3F908C">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20</w:t>
            </w:r>
          </w:p>
        </w:tc>
        <w:tc>
          <w:tcPr>
            <w:tcW w:w="562" w:type="dxa"/>
            <w:tcBorders>
              <w:top w:val="single" w:color="auto" w:sz="4" w:space="0"/>
              <w:left w:val="single" w:color="auto" w:sz="4" w:space="0"/>
              <w:bottom w:val="single" w:color="auto" w:sz="4" w:space="0"/>
              <w:right w:val="single" w:color="auto" w:sz="4" w:space="0"/>
            </w:tcBorders>
            <w:vAlign w:val="center"/>
          </w:tcPr>
          <w:p w14:paraId="65E76F98">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20</w:t>
            </w:r>
          </w:p>
        </w:tc>
        <w:tc>
          <w:tcPr>
            <w:tcW w:w="1389" w:type="dxa"/>
            <w:gridSpan w:val="2"/>
            <w:tcBorders>
              <w:top w:val="single" w:color="auto" w:sz="4" w:space="0"/>
              <w:left w:val="single" w:color="auto" w:sz="4" w:space="0"/>
              <w:bottom w:val="single" w:color="auto" w:sz="4" w:space="0"/>
              <w:right w:val="single" w:color="auto" w:sz="4" w:space="0"/>
            </w:tcBorders>
            <w:vAlign w:val="center"/>
          </w:tcPr>
          <w:p w14:paraId="0FD90DB7">
            <w:pPr>
              <w:widowControl/>
              <w:spacing w:line="240" w:lineRule="exact"/>
              <w:jc w:val="center"/>
              <w:rPr>
                <w:rFonts w:hint="eastAsia" w:ascii="宋体" w:hAnsi="宋体" w:eastAsia="宋体" w:cs="宋体"/>
                <w:kern w:val="0"/>
                <w:sz w:val="18"/>
                <w:szCs w:val="18"/>
              </w:rPr>
            </w:pPr>
          </w:p>
        </w:tc>
      </w:tr>
      <w:tr w14:paraId="6B1C0C09">
        <w:tblPrEx>
          <w:tblCellMar>
            <w:top w:w="0" w:type="dxa"/>
            <w:left w:w="108" w:type="dxa"/>
            <w:bottom w:w="0" w:type="dxa"/>
            <w:right w:w="108" w:type="dxa"/>
          </w:tblCellMar>
        </w:tblPrEx>
        <w:trPr>
          <w:trHeight w:val="2179" w:hRule="exact"/>
          <w:jc w:val="center"/>
        </w:trPr>
        <w:tc>
          <w:tcPr>
            <w:tcW w:w="578" w:type="dxa"/>
            <w:vMerge w:val="continue"/>
            <w:tcBorders>
              <w:left w:val="single" w:color="auto" w:sz="4" w:space="0"/>
              <w:bottom w:val="single" w:color="auto" w:sz="4" w:space="0"/>
              <w:right w:val="single" w:color="auto" w:sz="4" w:space="0"/>
            </w:tcBorders>
            <w:vAlign w:val="center"/>
          </w:tcPr>
          <w:p w14:paraId="70C732B1">
            <w:pPr>
              <w:widowControl/>
              <w:spacing w:line="240" w:lineRule="exact"/>
              <w:jc w:val="center"/>
              <w:rPr>
                <w:rFonts w:hint="eastAsia" w:ascii="宋体" w:hAnsi="宋体" w:eastAsia="宋体" w:cs="宋体"/>
                <w:kern w:val="0"/>
                <w:sz w:val="18"/>
                <w:szCs w:val="18"/>
              </w:rPr>
            </w:pPr>
          </w:p>
        </w:tc>
        <w:tc>
          <w:tcPr>
            <w:tcW w:w="811" w:type="dxa"/>
            <w:vMerge w:val="continue"/>
            <w:tcBorders>
              <w:top w:val="nil"/>
              <w:left w:val="single" w:color="auto" w:sz="4" w:space="0"/>
              <w:bottom w:val="single" w:color="auto" w:sz="4" w:space="0"/>
              <w:right w:val="single" w:color="auto" w:sz="4" w:space="0"/>
            </w:tcBorders>
            <w:vAlign w:val="center"/>
          </w:tcPr>
          <w:p w14:paraId="49C43EE9">
            <w:pPr>
              <w:widowControl/>
              <w:spacing w:line="240" w:lineRule="exact"/>
              <w:jc w:val="center"/>
              <w:rPr>
                <w:rFonts w:hint="eastAsia" w:ascii="宋体" w:hAnsi="宋体" w:eastAsia="宋体" w:cs="宋体"/>
                <w:kern w:val="0"/>
                <w:sz w:val="18"/>
                <w:szCs w:val="18"/>
              </w:rPr>
            </w:pPr>
          </w:p>
        </w:tc>
        <w:tc>
          <w:tcPr>
            <w:tcW w:w="1244" w:type="dxa"/>
            <w:tcBorders>
              <w:top w:val="nil"/>
              <w:left w:val="single" w:color="auto" w:sz="4" w:space="0"/>
              <w:bottom w:val="single" w:color="auto" w:sz="4" w:space="0"/>
              <w:right w:val="single" w:color="auto" w:sz="4" w:space="0"/>
            </w:tcBorders>
            <w:vAlign w:val="center"/>
          </w:tcPr>
          <w:p w14:paraId="55AC18F2">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时效指标</w:t>
            </w:r>
          </w:p>
        </w:tc>
        <w:tc>
          <w:tcPr>
            <w:tcW w:w="2111" w:type="dxa"/>
            <w:gridSpan w:val="3"/>
            <w:tcBorders>
              <w:top w:val="single" w:color="auto" w:sz="4" w:space="0"/>
              <w:left w:val="nil"/>
              <w:bottom w:val="single" w:color="auto" w:sz="4" w:space="0"/>
              <w:right w:val="single" w:color="auto" w:sz="4" w:space="0"/>
            </w:tcBorders>
            <w:vAlign w:val="center"/>
          </w:tcPr>
          <w:p w14:paraId="6828DF5D">
            <w:pPr>
              <w:widowControl/>
              <w:spacing w:line="240" w:lineRule="exact"/>
              <w:jc w:val="left"/>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2024年内完成项目修复及改造工程井实现商业开业运营；2024年内完成酒店部分业态定位、方案设计施工和二次机电安装。2025年内完成项目酒店部分验收竣备实现开业。</w:t>
            </w:r>
          </w:p>
        </w:tc>
        <w:tc>
          <w:tcPr>
            <w:tcW w:w="845" w:type="dxa"/>
            <w:tcBorders>
              <w:top w:val="single" w:color="auto" w:sz="4" w:space="0"/>
              <w:left w:val="single" w:color="auto" w:sz="4" w:space="0"/>
              <w:bottom w:val="single" w:color="auto" w:sz="4" w:space="0"/>
              <w:right w:val="single" w:color="auto" w:sz="4" w:space="0"/>
            </w:tcBorders>
            <w:vAlign w:val="center"/>
          </w:tcPr>
          <w:p w14:paraId="028699AC">
            <w:pPr>
              <w:widowControl/>
              <w:spacing w:line="240" w:lineRule="exact"/>
              <w:rPr>
                <w:rFonts w:hint="eastAsia" w:ascii="宋体" w:hAnsi="宋体" w:eastAsia="宋体" w:cs="宋体"/>
                <w:kern w:val="0"/>
                <w:sz w:val="18"/>
                <w:szCs w:val="18"/>
              </w:rPr>
            </w:pPr>
            <w:r>
              <w:rPr>
                <w:rFonts w:hint="eastAsia" w:ascii="宋体" w:hAnsi="宋体" w:eastAsia="宋体" w:cs="宋体"/>
                <w:kern w:val="0"/>
                <w:sz w:val="18"/>
                <w:szCs w:val="18"/>
              </w:rPr>
              <w:t>年内完成商业开业及酒店设计工作</w:t>
            </w:r>
          </w:p>
        </w:tc>
        <w:tc>
          <w:tcPr>
            <w:tcW w:w="831" w:type="dxa"/>
            <w:tcBorders>
              <w:top w:val="single" w:color="auto" w:sz="4" w:space="0"/>
              <w:left w:val="single" w:color="auto" w:sz="4" w:space="0"/>
              <w:bottom w:val="single" w:color="auto" w:sz="4" w:space="0"/>
              <w:right w:val="single" w:color="auto" w:sz="4" w:space="0"/>
            </w:tcBorders>
            <w:vAlign w:val="center"/>
          </w:tcPr>
          <w:p w14:paraId="3CC29333">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已完成</w:t>
            </w:r>
          </w:p>
        </w:tc>
        <w:tc>
          <w:tcPr>
            <w:tcW w:w="557" w:type="dxa"/>
            <w:gridSpan w:val="2"/>
            <w:tcBorders>
              <w:top w:val="single" w:color="auto" w:sz="4" w:space="0"/>
              <w:left w:val="single" w:color="auto" w:sz="4" w:space="0"/>
              <w:bottom w:val="single" w:color="auto" w:sz="4" w:space="0"/>
              <w:right w:val="single" w:color="auto" w:sz="4" w:space="0"/>
            </w:tcBorders>
            <w:vAlign w:val="center"/>
          </w:tcPr>
          <w:p w14:paraId="5A351EBE">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10</w:t>
            </w:r>
          </w:p>
        </w:tc>
        <w:tc>
          <w:tcPr>
            <w:tcW w:w="562" w:type="dxa"/>
            <w:tcBorders>
              <w:top w:val="single" w:color="auto" w:sz="4" w:space="0"/>
              <w:left w:val="single" w:color="auto" w:sz="4" w:space="0"/>
              <w:bottom w:val="single" w:color="auto" w:sz="4" w:space="0"/>
              <w:right w:val="single" w:color="auto" w:sz="4" w:space="0"/>
            </w:tcBorders>
            <w:vAlign w:val="center"/>
          </w:tcPr>
          <w:p w14:paraId="33A7BCA1">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7</w:t>
            </w:r>
          </w:p>
        </w:tc>
        <w:tc>
          <w:tcPr>
            <w:tcW w:w="1389" w:type="dxa"/>
            <w:gridSpan w:val="2"/>
            <w:tcBorders>
              <w:top w:val="single" w:color="auto" w:sz="4" w:space="0"/>
              <w:left w:val="single" w:color="auto" w:sz="4" w:space="0"/>
              <w:bottom w:val="single" w:color="auto" w:sz="4" w:space="0"/>
              <w:right w:val="single" w:color="auto" w:sz="4" w:space="0"/>
            </w:tcBorders>
            <w:vAlign w:val="center"/>
          </w:tcPr>
          <w:p w14:paraId="676DDB31">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受洪灾影响，重新实施机电评估，年内未完成机电实施</w:t>
            </w:r>
          </w:p>
        </w:tc>
      </w:tr>
      <w:tr w14:paraId="0D104C97">
        <w:tblPrEx>
          <w:tblCellMar>
            <w:top w:w="0" w:type="dxa"/>
            <w:left w:w="108" w:type="dxa"/>
            <w:bottom w:w="0" w:type="dxa"/>
            <w:right w:w="108" w:type="dxa"/>
          </w:tblCellMar>
        </w:tblPrEx>
        <w:trPr>
          <w:trHeight w:val="1759" w:hRule="exact"/>
          <w:jc w:val="center"/>
        </w:trPr>
        <w:tc>
          <w:tcPr>
            <w:tcW w:w="578" w:type="dxa"/>
            <w:vMerge w:val="continue"/>
            <w:tcBorders>
              <w:top w:val="single" w:color="auto" w:sz="4" w:space="0"/>
              <w:left w:val="single" w:color="auto" w:sz="4" w:space="0"/>
              <w:bottom w:val="single" w:color="auto" w:sz="4" w:space="0"/>
              <w:right w:val="single" w:color="auto" w:sz="4" w:space="0"/>
            </w:tcBorders>
            <w:vAlign w:val="center"/>
          </w:tcPr>
          <w:p w14:paraId="25E9A84D">
            <w:pPr>
              <w:widowControl/>
              <w:spacing w:line="240" w:lineRule="exact"/>
              <w:jc w:val="center"/>
              <w:rPr>
                <w:rFonts w:hint="eastAsia" w:ascii="宋体" w:hAnsi="宋体" w:eastAsia="宋体" w:cs="宋体"/>
                <w:kern w:val="0"/>
                <w:sz w:val="18"/>
                <w:szCs w:val="18"/>
              </w:rPr>
            </w:pPr>
          </w:p>
        </w:tc>
        <w:tc>
          <w:tcPr>
            <w:tcW w:w="811" w:type="dxa"/>
            <w:vMerge w:val="continue"/>
            <w:tcBorders>
              <w:top w:val="single" w:color="auto" w:sz="4" w:space="0"/>
              <w:left w:val="single" w:color="auto" w:sz="4" w:space="0"/>
              <w:bottom w:val="single" w:color="auto" w:sz="4" w:space="0"/>
              <w:right w:val="single" w:color="auto" w:sz="4" w:space="0"/>
            </w:tcBorders>
            <w:vAlign w:val="center"/>
          </w:tcPr>
          <w:p w14:paraId="18BFBF3F">
            <w:pPr>
              <w:widowControl/>
              <w:spacing w:line="240" w:lineRule="exact"/>
              <w:jc w:val="center"/>
              <w:rPr>
                <w:rFonts w:hint="eastAsia" w:ascii="宋体" w:hAnsi="宋体" w:eastAsia="宋体" w:cs="宋体"/>
                <w:kern w:val="0"/>
                <w:sz w:val="18"/>
                <w:szCs w:val="18"/>
              </w:rPr>
            </w:pPr>
          </w:p>
        </w:tc>
        <w:tc>
          <w:tcPr>
            <w:tcW w:w="1244" w:type="dxa"/>
            <w:tcBorders>
              <w:top w:val="single" w:color="auto" w:sz="4" w:space="0"/>
              <w:left w:val="single" w:color="auto" w:sz="4" w:space="0"/>
              <w:bottom w:val="single" w:color="auto" w:sz="4" w:space="0"/>
              <w:right w:val="single" w:color="auto" w:sz="4" w:space="0"/>
            </w:tcBorders>
            <w:vAlign w:val="center"/>
          </w:tcPr>
          <w:p w14:paraId="3E634E76">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成本指标</w:t>
            </w:r>
          </w:p>
        </w:tc>
        <w:tc>
          <w:tcPr>
            <w:tcW w:w="2111" w:type="dxa"/>
            <w:gridSpan w:val="3"/>
            <w:tcBorders>
              <w:top w:val="single" w:color="auto" w:sz="4" w:space="0"/>
              <w:left w:val="single" w:color="auto" w:sz="4" w:space="0"/>
              <w:bottom w:val="single" w:color="auto" w:sz="4" w:space="0"/>
              <w:right w:val="single" w:color="auto" w:sz="4" w:space="0"/>
            </w:tcBorders>
            <w:vAlign w:val="center"/>
          </w:tcPr>
          <w:p w14:paraId="5833ED72">
            <w:pPr>
              <w:widowControl/>
              <w:spacing w:line="240" w:lineRule="exact"/>
              <w:jc w:val="left"/>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通过组建专业化资管团队，提升项目全周期成本费用管控力度，细化成本费用优化方案，确保2024年度装修改造相关成本费用总额控制在1.25亿元以内</w:t>
            </w:r>
          </w:p>
        </w:tc>
        <w:tc>
          <w:tcPr>
            <w:tcW w:w="845" w:type="dxa"/>
            <w:tcBorders>
              <w:top w:val="single" w:color="auto" w:sz="4" w:space="0"/>
              <w:left w:val="single" w:color="auto" w:sz="4" w:space="0"/>
              <w:bottom w:val="single" w:color="auto" w:sz="4" w:space="0"/>
              <w:right w:val="single" w:color="auto" w:sz="4" w:space="0"/>
            </w:tcBorders>
            <w:vAlign w:val="center"/>
          </w:tcPr>
          <w:p w14:paraId="58254482">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成本&lt;1.25亿元</w:t>
            </w:r>
          </w:p>
        </w:tc>
        <w:tc>
          <w:tcPr>
            <w:tcW w:w="831" w:type="dxa"/>
            <w:tcBorders>
              <w:top w:val="single" w:color="auto" w:sz="4" w:space="0"/>
              <w:left w:val="single" w:color="auto" w:sz="4" w:space="0"/>
              <w:bottom w:val="single" w:color="auto" w:sz="4" w:space="0"/>
              <w:right w:val="single" w:color="auto" w:sz="4" w:space="0"/>
            </w:tcBorders>
            <w:vAlign w:val="center"/>
          </w:tcPr>
          <w:p w14:paraId="1A60E5B9">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&lt;1.25亿元</w:t>
            </w:r>
          </w:p>
        </w:tc>
        <w:tc>
          <w:tcPr>
            <w:tcW w:w="557" w:type="dxa"/>
            <w:gridSpan w:val="2"/>
            <w:tcBorders>
              <w:top w:val="single" w:color="auto" w:sz="4" w:space="0"/>
              <w:left w:val="single" w:color="auto" w:sz="4" w:space="0"/>
              <w:bottom w:val="single" w:color="auto" w:sz="4" w:space="0"/>
              <w:right w:val="single" w:color="auto" w:sz="4" w:space="0"/>
            </w:tcBorders>
            <w:vAlign w:val="center"/>
          </w:tcPr>
          <w:p w14:paraId="7DE404C6">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10</w:t>
            </w:r>
          </w:p>
        </w:tc>
        <w:tc>
          <w:tcPr>
            <w:tcW w:w="562" w:type="dxa"/>
            <w:tcBorders>
              <w:top w:val="single" w:color="auto" w:sz="4" w:space="0"/>
              <w:left w:val="single" w:color="auto" w:sz="4" w:space="0"/>
              <w:bottom w:val="single" w:color="auto" w:sz="4" w:space="0"/>
              <w:right w:val="single" w:color="auto" w:sz="4" w:space="0"/>
            </w:tcBorders>
            <w:vAlign w:val="center"/>
          </w:tcPr>
          <w:p w14:paraId="4378A802">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10</w:t>
            </w:r>
          </w:p>
        </w:tc>
        <w:tc>
          <w:tcPr>
            <w:tcW w:w="1389" w:type="dxa"/>
            <w:gridSpan w:val="2"/>
            <w:tcBorders>
              <w:top w:val="single" w:color="auto" w:sz="4" w:space="0"/>
              <w:left w:val="single" w:color="auto" w:sz="4" w:space="0"/>
              <w:bottom w:val="single" w:color="auto" w:sz="4" w:space="0"/>
              <w:right w:val="single" w:color="auto" w:sz="4" w:space="0"/>
            </w:tcBorders>
            <w:vAlign w:val="center"/>
          </w:tcPr>
          <w:p w14:paraId="715F6BA1">
            <w:pPr>
              <w:widowControl/>
              <w:spacing w:line="240" w:lineRule="exact"/>
              <w:jc w:val="center"/>
              <w:rPr>
                <w:rFonts w:hint="eastAsia" w:ascii="宋体" w:hAnsi="宋体" w:eastAsia="宋体" w:cs="宋体"/>
                <w:kern w:val="0"/>
                <w:sz w:val="18"/>
                <w:szCs w:val="18"/>
              </w:rPr>
            </w:pPr>
          </w:p>
        </w:tc>
      </w:tr>
      <w:tr w14:paraId="4DDEF1BE">
        <w:tblPrEx>
          <w:tblCellMar>
            <w:top w:w="0" w:type="dxa"/>
            <w:left w:w="108" w:type="dxa"/>
            <w:bottom w:w="0" w:type="dxa"/>
            <w:right w:w="108" w:type="dxa"/>
          </w:tblCellMar>
        </w:tblPrEx>
        <w:trPr>
          <w:trHeight w:val="1190" w:hRule="exact"/>
          <w:jc w:val="center"/>
        </w:trPr>
        <w:tc>
          <w:tcPr>
            <w:tcW w:w="578" w:type="dxa"/>
            <w:vMerge w:val="continue"/>
            <w:tcBorders>
              <w:top w:val="single" w:color="auto" w:sz="4" w:space="0"/>
              <w:left w:val="single" w:color="auto" w:sz="4" w:space="0"/>
              <w:right w:val="single" w:color="auto" w:sz="4" w:space="0"/>
            </w:tcBorders>
            <w:vAlign w:val="center"/>
          </w:tcPr>
          <w:p w14:paraId="7A661D23">
            <w:pPr>
              <w:widowControl/>
              <w:spacing w:line="240" w:lineRule="exact"/>
              <w:jc w:val="center"/>
              <w:rPr>
                <w:rFonts w:hint="eastAsia" w:ascii="宋体" w:hAnsi="宋体" w:eastAsia="宋体" w:cs="宋体"/>
                <w:kern w:val="0"/>
                <w:sz w:val="18"/>
                <w:szCs w:val="18"/>
              </w:rPr>
            </w:pPr>
          </w:p>
        </w:tc>
        <w:tc>
          <w:tcPr>
            <w:tcW w:w="811" w:type="dxa"/>
            <w:vMerge w:val="restart"/>
            <w:tcBorders>
              <w:top w:val="single" w:color="auto" w:sz="4" w:space="0"/>
              <w:left w:val="single" w:color="auto" w:sz="4" w:space="0"/>
              <w:bottom w:val="single" w:color="auto" w:sz="4" w:space="0"/>
              <w:right w:val="single" w:color="auto" w:sz="4" w:space="0"/>
            </w:tcBorders>
            <w:vAlign w:val="center"/>
          </w:tcPr>
          <w:p w14:paraId="2716429F">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效益指标</w:t>
            </w:r>
          </w:p>
        </w:tc>
        <w:tc>
          <w:tcPr>
            <w:tcW w:w="1244" w:type="dxa"/>
            <w:tcBorders>
              <w:top w:val="single" w:color="auto" w:sz="4" w:space="0"/>
              <w:left w:val="single" w:color="auto" w:sz="4" w:space="0"/>
              <w:bottom w:val="single" w:color="auto" w:sz="4" w:space="0"/>
              <w:right w:val="single" w:color="auto" w:sz="4" w:space="0"/>
            </w:tcBorders>
            <w:vAlign w:val="center"/>
          </w:tcPr>
          <w:p w14:paraId="43A9649B">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经济效益</w:t>
            </w:r>
          </w:p>
          <w:p w14:paraId="0B3A3FD3">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指标</w:t>
            </w:r>
          </w:p>
        </w:tc>
        <w:tc>
          <w:tcPr>
            <w:tcW w:w="2111" w:type="dxa"/>
            <w:gridSpan w:val="3"/>
            <w:tcBorders>
              <w:top w:val="single" w:color="auto" w:sz="4" w:space="0"/>
              <w:left w:val="nil"/>
              <w:bottom w:val="single" w:color="auto" w:sz="4" w:space="0"/>
              <w:right w:val="single" w:color="auto" w:sz="4" w:space="0"/>
            </w:tcBorders>
            <w:vAlign w:val="center"/>
          </w:tcPr>
          <w:p w14:paraId="25FCD1BE">
            <w:pPr>
              <w:widowControl/>
              <w:spacing w:line="240" w:lineRule="exact"/>
              <w:jc w:val="left"/>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商业计划2024年末开业，开业招商率达80%以上。</w:t>
            </w:r>
          </w:p>
        </w:tc>
        <w:tc>
          <w:tcPr>
            <w:tcW w:w="845" w:type="dxa"/>
            <w:tcBorders>
              <w:top w:val="single" w:color="auto" w:sz="4" w:space="0"/>
              <w:left w:val="single" w:color="auto" w:sz="4" w:space="0"/>
              <w:bottom w:val="single" w:color="auto" w:sz="4" w:space="0"/>
              <w:right w:val="single" w:color="auto" w:sz="4" w:space="0"/>
            </w:tcBorders>
            <w:vAlign w:val="center"/>
          </w:tcPr>
          <w:p w14:paraId="2A25CEC4">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年内开业且</w:t>
            </w:r>
            <w:r>
              <w:rPr>
                <w:rFonts w:hint="eastAsia" w:ascii="宋体" w:hAnsi="宋体" w:eastAsia="宋体" w:cs="宋体"/>
                <w:color w:val="000000"/>
                <w:kern w:val="0"/>
                <w:sz w:val="18"/>
                <w:szCs w:val="18"/>
              </w:rPr>
              <w:t>招商率达80%以上</w:t>
            </w:r>
          </w:p>
        </w:tc>
        <w:tc>
          <w:tcPr>
            <w:tcW w:w="831" w:type="dxa"/>
            <w:tcBorders>
              <w:top w:val="single" w:color="auto" w:sz="4" w:space="0"/>
              <w:left w:val="single" w:color="auto" w:sz="4" w:space="0"/>
              <w:bottom w:val="single" w:color="auto" w:sz="4" w:space="0"/>
              <w:right w:val="single" w:color="auto" w:sz="4" w:space="0"/>
            </w:tcBorders>
            <w:vAlign w:val="center"/>
          </w:tcPr>
          <w:p w14:paraId="670D517B">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&gt;80%</w:t>
            </w:r>
          </w:p>
        </w:tc>
        <w:tc>
          <w:tcPr>
            <w:tcW w:w="557" w:type="dxa"/>
            <w:gridSpan w:val="2"/>
            <w:tcBorders>
              <w:top w:val="single" w:color="auto" w:sz="4" w:space="0"/>
              <w:left w:val="single" w:color="auto" w:sz="4" w:space="0"/>
              <w:bottom w:val="single" w:color="auto" w:sz="4" w:space="0"/>
              <w:right w:val="single" w:color="auto" w:sz="4" w:space="0"/>
            </w:tcBorders>
            <w:vAlign w:val="center"/>
          </w:tcPr>
          <w:p w14:paraId="4C02E3FD">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5</w:t>
            </w:r>
          </w:p>
        </w:tc>
        <w:tc>
          <w:tcPr>
            <w:tcW w:w="562" w:type="dxa"/>
            <w:tcBorders>
              <w:top w:val="single" w:color="auto" w:sz="4" w:space="0"/>
              <w:left w:val="single" w:color="auto" w:sz="4" w:space="0"/>
              <w:bottom w:val="single" w:color="auto" w:sz="4" w:space="0"/>
              <w:right w:val="single" w:color="auto" w:sz="4" w:space="0"/>
            </w:tcBorders>
            <w:vAlign w:val="center"/>
          </w:tcPr>
          <w:p w14:paraId="2BA11BD9">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5</w:t>
            </w:r>
          </w:p>
        </w:tc>
        <w:tc>
          <w:tcPr>
            <w:tcW w:w="1389" w:type="dxa"/>
            <w:gridSpan w:val="2"/>
            <w:tcBorders>
              <w:top w:val="single" w:color="auto" w:sz="4" w:space="0"/>
              <w:left w:val="single" w:color="auto" w:sz="4" w:space="0"/>
              <w:bottom w:val="single" w:color="auto" w:sz="4" w:space="0"/>
              <w:right w:val="single" w:color="auto" w:sz="4" w:space="0"/>
            </w:tcBorders>
            <w:vAlign w:val="center"/>
          </w:tcPr>
          <w:p w14:paraId="4017AA30">
            <w:pPr>
              <w:widowControl/>
              <w:spacing w:line="240" w:lineRule="exact"/>
              <w:jc w:val="center"/>
              <w:rPr>
                <w:rFonts w:hint="eastAsia" w:ascii="宋体" w:hAnsi="宋体" w:eastAsia="宋体" w:cs="宋体"/>
                <w:kern w:val="0"/>
                <w:sz w:val="18"/>
                <w:szCs w:val="18"/>
              </w:rPr>
            </w:pPr>
          </w:p>
        </w:tc>
      </w:tr>
      <w:tr w14:paraId="10D352E6">
        <w:tblPrEx>
          <w:tblCellMar>
            <w:top w:w="0" w:type="dxa"/>
            <w:left w:w="108" w:type="dxa"/>
            <w:bottom w:w="0" w:type="dxa"/>
            <w:right w:w="108" w:type="dxa"/>
          </w:tblCellMar>
        </w:tblPrEx>
        <w:trPr>
          <w:trHeight w:val="1523" w:hRule="exact"/>
          <w:jc w:val="center"/>
        </w:trPr>
        <w:tc>
          <w:tcPr>
            <w:tcW w:w="578" w:type="dxa"/>
            <w:vMerge w:val="continue"/>
            <w:tcBorders>
              <w:left w:val="single" w:color="auto" w:sz="4" w:space="0"/>
              <w:right w:val="single" w:color="auto" w:sz="4" w:space="0"/>
            </w:tcBorders>
            <w:vAlign w:val="center"/>
          </w:tcPr>
          <w:p w14:paraId="33DCF440">
            <w:pPr>
              <w:widowControl/>
              <w:spacing w:line="240" w:lineRule="exact"/>
              <w:jc w:val="center"/>
              <w:rPr>
                <w:rFonts w:hint="eastAsia" w:ascii="宋体" w:hAnsi="宋体" w:eastAsia="宋体" w:cs="宋体"/>
                <w:kern w:val="0"/>
                <w:sz w:val="18"/>
                <w:szCs w:val="18"/>
              </w:rPr>
            </w:pPr>
          </w:p>
        </w:tc>
        <w:tc>
          <w:tcPr>
            <w:tcW w:w="811" w:type="dxa"/>
            <w:vMerge w:val="continue"/>
            <w:tcBorders>
              <w:top w:val="nil"/>
              <w:left w:val="single" w:color="auto" w:sz="4" w:space="0"/>
              <w:bottom w:val="single" w:color="auto" w:sz="4" w:space="0"/>
              <w:right w:val="single" w:color="auto" w:sz="4" w:space="0"/>
            </w:tcBorders>
            <w:vAlign w:val="center"/>
          </w:tcPr>
          <w:p w14:paraId="0F9517B5">
            <w:pPr>
              <w:widowControl/>
              <w:spacing w:line="240" w:lineRule="exact"/>
              <w:jc w:val="center"/>
              <w:rPr>
                <w:rFonts w:hint="eastAsia" w:ascii="宋体" w:hAnsi="宋体" w:eastAsia="宋体" w:cs="宋体"/>
                <w:kern w:val="0"/>
                <w:sz w:val="18"/>
                <w:szCs w:val="18"/>
              </w:rPr>
            </w:pPr>
          </w:p>
        </w:tc>
        <w:tc>
          <w:tcPr>
            <w:tcW w:w="1244" w:type="dxa"/>
            <w:tcBorders>
              <w:top w:val="single" w:color="auto" w:sz="4" w:space="0"/>
              <w:left w:val="single" w:color="auto" w:sz="4" w:space="0"/>
              <w:bottom w:val="single" w:color="auto" w:sz="4" w:space="0"/>
              <w:right w:val="single" w:color="auto" w:sz="4" w:space="0"/>
            </w:tcBorders>
            <w:vAlign w:val="center"/>
          </w:tcPr>
          <w:p w14:paraId="3483D8AD">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社会效益</w:t>
            </w:r>
          </w:p>
          <w:p w14:paraId="7D67C7EC">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指标</w:t>
            </w:r>
          </w:p>
        </w:tc>
        <w:tc>
          <w:tcPr>
            <w:tcW w:w="2111" w:type="dxa"/>
            <w:gridSpan w:val="3"/>
            <w:tcBorders>
              <w:top w:val="single" w:color="auto" w:sz="4" w:space="0"/>
              <w:left w:val="single" w:color="auto" w:sz="4" w:space="0"/>
              <w:bottom w:val="single" w:color="auto" w:sz="4" w:space="0"/>
              <w:right w:val="single" w:color="auto" w:sz="4" w:space="0"/>
            </w:tcBorders>
            <w:vAlign w:val="center"/>
          </w:tcPr>
          <w:p w14:paraId="24734965">
            <w:pPr>
              <w:widowControl/>
              <w:spacing w:line="240" w:lineRule="exact"/>
              <w:jc w:val="left"/>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2024年将加快推进项目改造建设，通过项目商业部分开业，改善区域形象面貌，提升项目所在区域居民生活配套服务水平</w:t>
            </w:r>
          </w:p>
        </w:tc>
        <w:tc>
          <w:tcPr>
            <w:tcW w:w="845" w:type="dxa"/>
            <w:tcBorders>
              <w:top w:val="single" w:color="auto" w:sz="4" w:space="0"/>
              <w:left w:val="single" w:color="auto" w:sz="4" w:space="0"/>
              <w:bottom w:val="single" w:color="auto" w:sz="4" w:space="0"/>
              <w:right w:val="single" w:color="auto" w:sz="4" w:space="0"/>
            </w:tcBorders>
            <w:shd w:val="clear" w:color="auto" w:fill="auto"/>
            <w:vAlign w:val="center"/>
          </w:tcPr>
          <w:p w14:paraId="4037C3DD">
            <w:pPr>
              <w:widowControl/>
              <w:spacing w:line="240" w:lineRule="exact"/>
              <w:jc w:val="center"/>
              <w:rPr>
                <w:rFonts w:hint="eastAsia" w:ascii="宋体" w:hAnsi="宋体" w:eastAsia="宋体" w:cs="宋体"/>
                <w:kern w:val="0"/>
                <w:sz w:val="18"/>
                <w:szCs w:val="18"/>
              </w:rPr>
            </w:pPr>
            <w:r>
              <w:rPr>
                <w:rFonts w:hint="eastAsia" w:ascii="宋体" w:hAnsi="宋体" w:eastAsia="宋体" w:cs="宋体"/>
                <w:color w:val="000000"/>
                <w:kern w:val="0"/>
                <w:sz w:val="18"/>
                <w:szCs w:val="18"/>
              </w:rPr>
              <w:t>项目商业部分开业，改善区域形象面貌</w:t>
            </w:r>
          </w:p>
        </w:tc>
        <w:tc>
          <w:tcPr>
            <w:tcW w:w="831" w:type="dxa"/>
            <w:tcBorders>
              <w:top w:val="single" w:color="auto" w:sz="4" w:space="0"/>
              <w:left w:val="single" w:color="auto" w:sz="4" w:space="0"/>
              <w:bottom w:val="single" w:color="auto" w:sz="4" w:space="0"/>
              <w:right w:val="single" w:color="auto" w:sz="4" w:space="0"/>
            </w:tcBorders>
            <w:shd w:val="clear" w:color="auto" w:fill="auto"/>
            <w:vAlign w:val="center"/>
          </w:tcPr>
          <w:p w14:paraId="33E4F6F1">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已完成</w:t>
            </w:r>
          </w:p>
        </w:tc>
        <w:tc>
          <w:tcPr>
            <w:tcW w:w="55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0B039CA">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10</w:t>
            </w:r>
          </w:p>
        </w:tc>
        <w:tc>
          <w:tcPr>
            <w:tcW w:w="562" w:type="dxa"/>
            <w:tcBorders>
              <w:top w:val="single" w:color="auto" w:sz="4" w:space="0"/>
              <w:left w:val="single" w:color="auto" w:sz="4" w:space="0"/>
              <w:bottom w:val="single" w:color="auto" w:sz="4" w:space="0"/>
              <w:right w:val="single" w:color="auto" w:sz="4" w:space="0"/>
            </w:tcBorders>
            <w:vAlign w:val="center"/>
          </w:tcPr>
          <w:p w14:paraId="64764BC9">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10</w:t>
            </w:r>
          </w:p>
        </w:tc>
        <w:tc>
          <w:tcPr>
            <w:tcW w:w="1389" w:type="dxa"/>
            <w:gridSpan w:val="2"/>
            <w:tcBorders>
              <w:top w:val="single" w:color="auto" w:sz="4" w:space="0"/>
              <w:left w:val="single" w:color="auto" w:sz="4" w:space="0"/>
              <w:bottom w:val="single" w:color="auto" w:sz="4" w:space="0"/>
              <w:right w:val="single" w:color="auto" w:sz="4" w:space="0"/>
            </w:tcBorders>
            <w:vAlign w:val="center"/>
          </w:tcPr>
          <w:p w14:paraId="09F6F954">
            <w:pPr>
              <w:widowControl/>
              <w:spacing w:line="240" w:lineRule="exact"/>
              <w:jc w:val="center"/>
              <w:rPr>
                <w:rFonts w:hint="eastAsia" w:ascii="宋体" w:hAnsi="宋体" w:eastAsia="宋体" w:cs="宋体"/>
                <w:kern w:val="0"/>
                <w:sz w:val="18"/>
                <w:szCs w:val="18"/>
              </w:rPr>
            </w:pPr>
          </w:p>
        </w:tc>
      </w:tr>
      <w:tr w14:paraId="67425282">
        <w:tblPrEx>
          <w:tblCellMar>
            <w:top w:w="0" w:type="dxa"/>
            <w:left w:w="108" w:type="dxa"/>
            <w:bottom w:w="0" w:type="dxa"/>
            <w:right w:w="108" w:type="dxa"/>
          </w:tblCellMar>
        </w:tblPrEx>
        <w:trPr>
          <w:trHeight w:val="1133" w:hRule="exact"/>
          <w:jc w:val="center"/>
        </w:trPr>
        <w:tc>
          <w:tcPr>
            <w:tcW w:w="578" w:type="dxa"/>
            <w:vMerge w:val="continue"/>
            <w:tcBorders>
              <w:left w:val="single" w:color="auto" w:sz="4" w:space="0"/>
              <w:right w:val="single" w:color="auto" w:sz="4" w:space="0"/>
            </w:tcBorders>
            <w:vAlign w:val="center"/>
          </w:tcPr>
          <w:p w14:paraId="38C15D6A">
            <w:pPr>
              <w:widowControl/>
              <w:spacing w:line="240" w:lineRule="exact"/>
              <w:jc w:val="center"/>
              <w:rPr>
                <w:rFonts w:hint="eastAsia" w:ascii="宋体" w:hAnsi="宋体" w:eastAsia="宋体" w:cs="宋体"/>
                <w:kern w:val="0"/>
                <w:sz w:val="18"/>
                <w:szCs w:val="18"/>
              </w:rPr>
            </w:pPr>
          </w:p>
        </w:tc>
        <w:tc>
          <w:tcPr>
            <w:tcW w:w="811" w:type="dxa"/>
            <w:vMerge w:val="continue"/>
            <w:tcBorders>
              <w:top w:val="nil"/>
              <w:left w:val="single" w:color="auto" w:sz="4" w:space="0"/>
              <w:bottom w:val="single" w:color="auto" w:sz="4" w:space="0"/>
              <w:right w:val="single" w:color="auto" w:sz="4" w:space="0"/>
            </w:tcBorders>
            <w:vAlign w:val="center"/>
          </w:tcPr>
          <w:p w14:paraId="29AC0B36">
            <w:pPr>
              <w:widowControl/>
              <w:spacing w:line="240" w:lineRule="exact"/>
              <w:jc w:val="center"/>
              <w:rPr>
                <w:rFonts w:hint="eastAsia" w:ascii="宋体" w:hAnsi="宋体" w:eastAsia="宋体" w:cs="宋体"/>
                <w:kern w:val="0"/>
                <w:sz w:val="18"/>
                <w:szCs w:val="18"/>
              </w:rPr>
            </w:pPr>
          </w:p>
        </w:tc>
        <w:tc>
          <w:tcPr>
            <w:tcW w:w="1244" w:type="dxa"/>
            <w:tcBorders>
              <w:top w:val="single" w:color="auto" w:sz="4" w:space="0"/>
              <w:left w:val="single" w:color="auto" w:sz="4" w:space="0"/>
              <w:bottom w:val="single" w:color="auto" w:sz="4" w:space="0"/>
              <w:right w:val="single" w:color="auto" w:sz="4" w:space="0"/>
            </w:tcBorders>
            <w:vAlign w:val="center"/>
          </w:tcPr>
          <w:p w14:paraId="42931BA8">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生态效益</w:t>
            </w:r>
          </w:p>
          <w:p w14:paraId="23873CE2">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指标</w:t>
            </w:r>
          </w:p>
        </w:tc>
        <w:tc>
          <w:tcPr>
            <w:tcW w:w="2111" w:type="dxa"/>
            <w:gridSpan w:val="3"/>
            <w:tcBorders>
              <w:top w:val="single" w:color="auto" w:sz="4" w:space="0"/>
              <w:left w:val="nil"/>
              <w:right w:val="single" w:color="auto" w:sz="4" w:space="0"/>
            </w:tcBorders>
            <w:vAlign w:val="center"/>
          </w:tcPr>
          <w:p w14:paraId="01D0C9F9">
            <w:pPr>
              <w:widowControl/>
              <w:spacing w:line="240" w:lineRule="exact"/>
              <w:jc w:val="left"/>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通过商业厨房改造及楼宇智慧能源管理方案，实现项目在不同场景下的节能减排。</w:t>
            </w:r>
          </w:p>
        </w:tc>
        <w:tc>
          <w:tcPr>
            <w:tcW w:w="845" w:type="dxa"/>
            <w:tcBorders>
              <w:top w:val="single" w:color="auto" w:sz="4" w:space="0"/>
              <w:left w:val="single" w:color="auto" w:sz="4" w:space="0"/>
              <w:bottom w:val="single" w:color="auto" w:sz="4" w:space="0"/>
              <w:right w:val="single" w:color="auto" w:sz="4" w:space="0"/>
            </w:tcBorders>
            <w:vAlign w:val="center"/>
          </w:tcPr>
          <w:p w14:paraId="5B2D545A">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启动能源改造方案研判</w:t>
            </w:r>
          </w:p>
        </w:tc>
        <w:tc>
          <w:tcPr>
            <w:tcW w:w="831" w:type="dxa"/>
            <w:tcBorders>
              <w:top w:val="single" w:color="auto" w:sz="4" w:space="0"/>
              <w:left w:val="single" w:color="auto" w:sz="4" w:space="0"/>
              <w:bottom w:val="single" w:color="auto" w:sz="4" w:space="0"/>
              <w:right w:val="single" w:color="auto" w:sz="4" w:space="0"/>
            </w:tcBorders>
            <w:vAlign w:val="center"/>
          </w:tcPr>
          <w:p w14:paraId="16B486D6">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已完成</w:t>
            </w:r>
          </w:p>
        </w:tc>
        <w:tc>
          <w:tcPr>
            <w:tcW w:w="557" w:type="dxa"/>
            <w:gridSpan w:val="2"/>
            <w:tcBorders>
              <w:top w:val="single" w:color="auto" w:sz="4" w:space="0"/>
              <w:left w:val="single" w:color="auto" w:sz="4" w:space="0"/>
              <w:bottom w:val="single" w:color="auto" w:sz="4" w:space="0"/>
              <w:right w:val="single" w:color="auto" w:sz="4" w:space="0"/>
            </w:tcBorders>
            <w:vAlign w:val="center"/>
          </w:tcPr>
          <w:p w14:paraId="0F67E279">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10</w:t>
            </w:r>
          </w:p>
        </w:tc>
        <w:tc>
          <w:tcPr>
            <w:tcW w:w="562" w:type="dxa"/>
            <w:tcBorders>
              <w:top w:val="single" w:color="auto" w:sz="4" w:space="0"/>
              <w:left w:val="single" w:color="auto" w:sz="4" w:space="0"/>
              <w:bottom w:val="single" w:color="auto" w:sz="4" w:space="0"/>
              <w:right w:val="single" w:color="auto" w:sz="4" w:space="0"/>
            </w:tcBorders>
            <w:vAlign w:val="center"/>
          </w:tcPr>
          <w:p w14:paraId="576C4CE1">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10</w:t>
            </w:r>
          </w:p>
        </w:tc>
        <w:tc>
          <w:tcPr>
            <w:tcW w:w="1389" w:type="dxa"/>
            <w:gridSpan w:val="2"/>
            <w:tcBorders>
              <w:top w:val="single" w:color="auto" w:sz="4" w:space="0"/>
              <w:left w:val="single" w:color="auto" w:sz="4" w:space="0"/>
              <w:bottom w:val="single" w:color="auto" w:sz="4" w:space="0"/>
              <w:right w:val="single" w:color="auto" w:sz="4" w:space="0"/>
            </w:tcBorders>
            <w:vAlign w:val="center"/>
          </w:tcPr>
          <w:p w14:paraId="7054D275">
            <w:pPr>
              <w:widowControl/>
              <w:spacing w:line="240" w:lineRule="exact"/>
              <w:jc w:val="center"/>
              <w:rPr>
                <w:rFonts w:hint="eastAsia" w:ascii="宋体" w:hAnsi="宋体" w:eastAsia="宋体" w:cs="宋体"/>
                <w:kern w:val="0"/>
                <w:sz w:val="18"/>
                <w:szCs w:val="18"/>
              </w:rPr>
            </w:pPr>
          </w:p>
        </w:tc>
      </w:tr>
      <w:tr w14:paraId="3B58F918">
        <w:tblPrEx>
          <w:tblCellMar>
            <w:top w:w="0" w:type="dxa"/>
            <w:left w:w="108" w:type="dxa"/>
            <w:bottom w:w="0" w:type="dxa"/>
            <w:right w:w="108" w:type="dxa"/>
          </w:tblCellMar>
        </w:tblPrEx>
        <w:trPr>
          <w:trHeight w:val="743" w:hRule="exact"/>
          <w:jc w:val="center"/>
        </w:trPr>
        <w:tc>
          <w:tcPr>
            <w:tcW w:w="578" w:type="dxa"/>
            <w:vMerge w:val="continue"/>
            <w:tcBorders>
              <w:left w:val="single" w:color="auto" w:sz="4" w:space="0"/>
              <w:right w:val="single" w:color="auto" w:sz="4" w:space="0"/>
            </w:tcBorders>
            <w:vAlign w:val="center"/>
          </w:tcPr>
          <w:p w14:paraId="3D5D4E1F">
            <w:pPr>
              <w:widowControl/>
              <w:spacing w:line="240" w:lineRule="exact"/>
              <w:jc w:val="center"/>
              <w:rPr>
                <w:rFonts w:hint="eastAsia" w:ascii="宋体" w:hAnsi="宋体" w:eastAsia="宋体" w:cs="宋体"/>
                <w:kern w:val="0"/>
                <w:sz w:val="18"/>
                <w:szCs w:val="18"/>
              </w:rPr>
            </w:pPr>
          </w:p>
        </w:tc>
        <w:tc>
          <w:tcPr>
            <w:tcW w:w="811" w:type="dxa"/>
            <w:vMerge w:val="continue"/>
            <w:tcBorders>
              <w:top w:val="nil"/>
              <w:left w:val="single" w:color="auto" w:sz="4" w:space="0"/>
              <w:bottom w:val="single" w:color="auto" w:sz="4" w:space="0"/>
              <w:right w:val="single" w:color="auto" w:sz="4" w:space="0"/>
            </w:tcBorders>
            <w:vAlign w:val="center"/>
          </w:tcPr>
          <w:p w14:paraId="4048A833">
            <w:pPr>
              <w:widowControl/>
              <w:spacing w:line="240" w:lineRule="exact"/>
              <w:jc w:val="center"/>
              <w:rPr>
                <w:rFonts w:hint="eastAsia" w:ascii="宋体" w:hAnsi="宋体" w:eastAsia="宋体" w:cs="宋体"/>
                <w:kern w:val="0"/>
                <w:sz w:val="18"/>
                <w:szCs w:val="18"/>
              </w:rPr>
            </w:pPr>
          </w:p>
        </w:tc>
        <w:tc>
          <w:tcPr>
            <w:tcW w:w="1244" w:type="dxa"/>
            <w:tcBorders>
              <w:top w:val="nil"/>
              <w:left w:val="single" w:color="auto" w:sz="4" w:space="0"/>
              <w:bottom w:val="single" w:color="auto" w:sz="4" w:space="0"/>
              <w:right w:val="single" w:color="auto" w:sz="4" w:space="0"/>
            </w:tcBorders>
            <w:vAlign w:val="center"/>
          </w:tcPr>
          <w:p w14:paraId="52448831">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可持续影响指标</w:t>
            </w:r>
          </w:p>
        </w:tc>
        <w:tc>
          <w:tcPr>
            <w:tcW w:w="2111" w:type="dxa"/>
            <w:gridSpan w:val="3"/>
            <w:tcBorders>
              <w:top w:val="single" w:color="auto" w:sz="4" w:space="0"/>
              <w:left w:val="nil"/>
              <w:right w:val="single" w:color="auto" w:sz="4" w:space="0"/>
            </w:tcBorders>
            <w:vAlign w:val="center"/>
          </w:tcPr>
          <w:p w14:paraId="2F6FDFF8">
            <w:pPr>
              <w:widowControl/>
              <w:spacing w:line="240" w:lineRule="exact"/>
              <w:jc w:val="left"/>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项目搭建可视化智能运维等系统，帮助实现智能化管理</w:t>
            </w:r>
          </w:p>
        </w:tc>
        <w:tc>
          <w:tcPr>
            <w:tcW w:w="845" w:type="dxa"/>
            <w:tcBorders>
              <w:top w:val="single" w:color="auto" w:sz="4" w:space="0"/>
              <w:left w:val="single" w:color="auto" w:sz="4" w:space="0"/>
              <w:bottom w:val="single" w:color="auto" w:sz="4" w:space="0"/>
              <w:right w:val="single" w:color="auto" w:sz="4" w:space="0"/>
            </w:tcBorders>
            <w:vAlign w:val="center"/>
          </w:tcPr>
          <w:p w14:paraId="4D33E99D">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启动弱电智能化方案设计</w:t>
            </w:r>
          </w:p>
        </w:tc>
        <w:tc>
          <w:tcPr>
            <w:tcW w:w="831" w:type="dxa"/>
            <w:tcBorders>
              <w:top w:val="single" w:color="auto" w:sz="4" w:space="0"/>
              <w:left w:val="single" w:color="auto" w:sz="4" w:space="0"/>
              <w:bottom w:val="single" w:color="auto" w:sz="4" w:space="0"/>
              <w:right w:val="single" w:color="auto" w:sz="4" w:space="0"/>
            </w:tcBorders>
            <w:vAlign w:val="center"/>
          </w:tcPr>
          <w:p w14:paraId="108CD51C">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已完成</w:t>
            </w:r>
          </w:p>
        </w:tc>
        <w:tc>
          <w:tcPr>
            <w:tcW w:w="557" w:type="dxa"/>
            <w:gridSpan w:val="2"/>
            <w:tcBorders>
              <w:top w:val="single" w:color="auto" w:sz="4" w:space="0"/>
              <w:left w:val="single" w:color="auto" w:sz="4" w:space="0"/>
              <w:bottom w:val="single" w:color="auto" w:sz="4" w:space="0"/>
              <w:right w:val="single" w:color="auto" w:sz="4" w:space="0"/>
            </w:tcBorders>
            <w:vAlign w:val="center"/>
          </w:tcPr>
          <w:p w14:paraId="6918D04A">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10</w:t>
            </w:r>
          </w:p>
        </w:tc>
        <w:tc>
          <w:tcPr>
            <w:tcW w:w="562" w:type="dxa"/>
            <w:tcBorders>
              <w:top w:val="single" w:color="auto" w:sz="4" w:space="0"/>
              <w:left w:val="single" w:color="auto" w:sz="4" w:space="0"/>
              <w:bottom w:val="single" w:color="auto" w:sz="4" w:space="0"/>
              <w:right w:val="single" w:color="auto" w:sz="4" w:space="0"/>
            </w:tcBorders>
            <w:vAlign w:val="center"/>
          </w:tcPr>
          <w:p w14:paraId="66EB28FA">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10</w:t>
            </w:r>
          </w:p>
        </w:tc>
        <w:tc>
          <w:tcPr>
            <w:tcW w:w="1389" w:type="dxa"/>
            <w:gridSpan w:val="2"/>
            <w:tcBorders>
              <w:top w:val="single" w:color="auto" w:sz="4" w:space="0"/>
              <w:left w:val="single" w:color="auto" w:sz="4" w:space="0"/>
              <w:bottom w:val="single" w:color="auto" w:sz="4" w:space="0"/>
              <w:right w:val="single" w:color="auto" w:sz="4" w:space="0"/>
            </w:tcBorders>
            <w:vAlign w:val="center"/>
          </w:tcPr>
          <w:p w14:paraId="3231F9F1">
            <w:pPr>
              <w:widowControl/>
              <w:spacing w:line="240" w:lineRule="exact"/>
              <w:jc w:val="center"/>
              <w:rPr>
                <w:rFonts w:hint="eastAsia" w:ascii="宋体" w:hAnsi="宋体" w:eastAsia="宋体" w:cs="宋体"/>
                <w:kern w:val="0"/>
                <w:sz w:val="18"/>
                <w:szCs w:val="18"/>
              </w:rPr>
            </w:pPr>
          </w:p>
        </w:tc>
      </w:tr>
      <w:tr w14:paraId="01B80EE4">
        <w:tblPrEx>
          <w:tblCellMar>
            <w:top w:w="0" w:type="dxa"/>
            <w:left w:w="108" w:type="dxa"/>
            <w:bottom w:w="0" w:type="dxa"/>
            <w:right w:w="108" w:type="dxa"/>
          </w:tblCellMar>
        </w:tblPrEx>
        <w:trPr>
          <w:trHeight w:val="933" w:hRule="exact"/>
          <w:jc w:val="center"/>
        </w:trPr>
        <w:tc>
          <w:tcPr>
            <w:tcW w:w="578" w:type="dxa"/>
            <w:vMerge w:val="continue"/>
            <w:tcBorders>
              <w:left w:val="single" w:color="auto" w:sz="4" w:space="0"/>
              <w:right w:val="single" w:color="auto" w:sz="4" w:space="0"/>
            </w:tcBorders>
            <w:vAlign w:val="center"/>
          </w:tcPr>
          <w:p w14:paraId="55072CC7">
            <w:pPr>
              <w:widowControl/>
              <w:spacing w:line="240" w:lineRule="exact"/>
              <w:jc w:val="center"/>
              <w:rPr>
                <w:rFonts w:hint="eastAsia" w:ascii="宋体" w:hAnsi="宋体" w:eastAsia="宋体" w:cs="宋体"/>
                <w:kern w:val="0"/>
                <w:sz w:val="18"/>
                <w:szCs w:val="18"/>
              </w:rPr>
            </w:pPr>
          </w:p>
        </w:tc>
        <w:tc>
          <w:tcPr>
            <w:tcW w:w="811" w:type="dxa"/>
            <w:tcBorders>
              <w:top w:val="single" w:color="auto" w:sz="4" w:space="0"/>
              <w:left w:val="single" w:color="auto" w:sz="4" w:space="0"/>
              <w:right w:val="single" w:color="auto" w:sz="4" w:space="0"/>
            </w:tcBorders>
            <w:vAlign w:val="center"/>
          </w:tcPr>
          <w:p w14:paraId="3B0F0758">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满意度</w:t>
            </w:r>
          </w:p>
          <w:p w14:paraId="7F3FBDB5">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指标</w:t>
            </w:r>
          </w:p>
        </w:tc>
        <w:tc>
          <w:tcPr>
            <w:tcW w:w="1244" w:type="dxa"/>
            <w:tcBorders>
              <w:top w:val="single" w:color="auto" w:sz="4" w:space="0"/>
              <w:left w:val="single" w:color="auto" w:sz="4" w:space="0"/>
              <w:bottom w:val="single" w:color="auto" w:sz="4" w:space="0"/>
              <w:right w:val="single" w:color="auto" w:sz="4" w:space="0"/>
            </w:tcBorders>
            <w:vAlign w:val="center"/>
          </w:tcPr>
          <w:p w14:paraId="640A520C">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服务对象满意度指标</w:t>
            </w:r>
          </w:p>
        </w:tc>
        <w:tc>
          <w:tcPr>
            <w:tcW w:w="2111" w:type="dxa"/>
            <w:gridSpan w:val="3"/>
            <w:tcBorders>
              <w:top w:val="single" w:color="auto" w:sz="4" w:space="0"/>
              <w:left w:val="nil"/>
              <w:right w:val="single" w:color="auto" w:sz="4" w:space="0"/>
            </w:tcBorders>
            <w:vAlign w:val="center"/>
          </w:tcPr>
          <w:p w14:paraId="672520F2">
            <w:pPr>
              <w:widowControl/>
              <w:spacing w:line="240" w:lineRule="exact"/>
              <w:jc w:val="left"/>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为招商的商户提供高品质服务，减少未来换租率，</w:t>
            </w:r>
          </w:p>
        </w:tc>
        <w:tc>
          <w:tcPr>
            <w:tcW w:w="845" w:type="dxa"/>
            <w:tcBorders>
              <w:top w:val="single" w:color="auto" w:sz="4" w:space="0"/>
              <w:left w:val="nil"/>
              <w:right w:val="single" w:color="auto" w:sz="4" w:space="0"/>
            </w:tcBorders>
            <w:vAlign w:val="center"/>
          </w:tcPr>
          <w:p w14:paraId="57790737">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不断提升服务水平</w:t>
            </w:r>
          </w:p>
        </w:tc>
        <w:tc>
          <w:tcPr>
            <w:tcW w:w="831" w:type="dxa"/>
            <w:tcBorders>
              <w:top w:val="single" w:color="auto" w:sz="4" w:space="0"/>
              <w:left w:val="nil"/>
              <w:right w:val="single" w:color="auto" w:sz="4" w:space="0"/>
            </w:tcBorders>
            <w:vAlign w:val="center"/>
          </w:tcPr>
          <w:p w14:paraId="1DE83802">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已完成</w:t>
            </w:r>
          </w:p>
        </w:tc>
        <w:tc>
          <w:tcPr>
            <w:tcW w:w="557" w:type="dxa"/>
            <w:gridSpan w:val="2"/>
            <w:tcBorders>
              <w:top w:val="single" w:color="auto" w:sz="4" w:space="0"/>
              <w:left w:val="single" w:color="auto" w:sz="4" w:space="0"/>
              <w:bottom w:val="single" w:color="auto" w:sz="4" w:space="0"/>
              <w:right w:val="single" w:color="auto" w:sz="4" w:space="0"/>
            </w:tcBorders>
            <w:vAlign w:val="center"/>
          </w:tcPr>
          <w:p w14:paraId="707B36D0">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5</w:t>
            </w:r>
          </w:p>
        </w:tc>
        <w:tc>
          <w:tcPr>
            <w:tcW w:w="562" w:type="dxa"/>
            <w:tcBorders>
              <w:top w:val="single" w:color="auto" w:sz="4" w:space="0"/>
              <w:left w:val="single" w:color="auto" w:sz="4" w:space="0"/>
              <w:bottom w:val="single" w:color="auto" w:sz="4" w:space="0"/>
              <w:right w:val="single" w:color="auto" w:sz="4" w:space="0"/>
            </w:tcBorders>
            <w:vAlign w:val="center"/>
          </w:tcPr>
          <w:p w14:paraId="6B54D2BF">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5</w:t>
            </w:r>
          </w:p>
        </w:tc>
        <w:tc>
          <w:tcPr>
            <w:tcW w:w="1389" w:type="dxa"/>
            <w:gridSpan w:val="2"/>
            <w:tcBorders>
              <w:top w:val="single" w:color="auto" w:sz="4" w:space="0"/>
              <w:left w:val="single" w:color="auto" w:sz="4" w:space="0"/>
              <w:bottom w:val="single" w:color="auto" w:sz="4" w:space="0"/>
              <w:right w:val="single" w:color="auto" w:sz="4" w:space="0"/>
            </w:tcBorders>
            <w:vAlign w:val="center"/>
          </w:tcPr>
          <w:p w14:paraId="72D7FEA0">
            <w:pPr>
              <w:widowControl/>
              <w:spacing w:line="240" w:lineRule="exact"/>
              <w:jc w:val="center"/>
              <w:rPr>
                <w:rFonts w:hint="eastAsia" w:ascii="宋体" w:hAnsi="宋体" w:eastAsia="宋体" w:cs="宋体"/>
                <w:kern w:val="0"/>
                <w:sz w:val="18"/>
                <w:szCs w:val="18"/>
              </w:rPr>
            </w:pPr>
          </w:p>
        </w:tc>
      </w:tr>
      <w:tr w14:paraId="3B416D74">
        <w:tblPrEx>
          <w:tblCellMar>
            <w:top w:w="0" w:type="dxa"/>
            <w:left w:w="108" w:type="dxa"/>
            <w:bottom w:w="0" w:type="dxa"/>
            <w:right w:w="108" w:type="dxa"/>
          </w:tblCellMar>
        </w:tblPrEx>
        <w:trPr>
          <w:trHeight w:val="291" w:hRule="exact"/>
          <w:jc w:val="center"/>
        </w:trPr>
        <w:tc>
          <w:tcPr>
            <w:tcW w:w="6420" w:type="dxa"/>
            <w:gridSpan w:val="8"/>
            <w:tcBorders>
              <w:top w:val="single" w:color="auto" w:sz="4" w:space="0"/>
              <w:left w:val="single" w:color="auto" w:sz="4" w:space="0"/>
              <w:bottom w:val="single" w:color="auto" w:sz="4" w:space="0"/>
              <w:right w:val="single" w:color="auto" w:sz="4" w:space="0"/>
            </w:tcBorders>
            <w:vAlign w:val="center"/>
          </w:tcPr>
          <w:p w14:paraId="6E10A181">
            <w:pPr>
              <w:widowControl/>
              <w:spacing w:line="240" w:lineRule="exact"/>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总分</w:t>
            </w:r>
          </w:p>
        </w:tc>
        <w:tc>
          <w:tcPr>
            <w:tcW w:w="557" w:type="dxa"/>
            <w:gridSpan w:val="2"/>
            <w:tcBorders>
              <w:top w:val="single" w:color="auto" w:sz="4" w:space="0"/>
              <w:left w:val="nil"/>
              <w:bottom w:val="single" w:color="auto" w:sz="4" w:space="0"/>
              <w:right w:val="single" w:color="auto" w:sz="4" w:space="0"/>
            </w:tcBorders>
            <w:vAlign w:val="center"/>
          </w:tcPr>
          <w:p w14:paraId="213DBF4A">
            <w:pPr>
              <w:widowControl/>
              <w:spacing w:line="240" w:lineRule="exact"/>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100</w:t>
            </w:r>
          </w:p>
        </w:tc>
        <w:tc>
          <w:tcPr>
            <w:tcW w:w="562" w:type="dxa"/>
            <w:tcBorders>
              <w:top w:val="single" w:color="auto" w:sz="4" w:space="0"/>
              <w:left w:val="nil"/>
              <w:bottom w:val="single" w:color="auto" w:sz="4" w:space="0"/>
              <w:right w:val="single" w:color="auto" w:sz="4" w:space="0"/>
            </w:tcBorders>
            <w:vAlign w:val="center"/>
          </w:tcPr>
          <w:p w14:paraId="4CF1E719">
            <w:pPr>
              <w:widowControl/>
              <w:spacing w:line="240" w:lineRule="exact"/>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95</w:t>
            </w:r>
          </w:p>
        </w:tc>
        <w:tc>
          <w:tcPr>
            <w:tcW w:w="1389" w:type="dxa"/>
            <w:gridSpan w:val="2"/>
            <w:tcBorders>
              <w:top w:val="single" w:color="auto" w:sz="4" w:space="0"/>
              <w:left w:val="nil"/>
              <w:bottom w:val="single" w:color="auto" w:sz="4" w:space="0"/>
              <w:right w:val="single" w:color="auto" w:sz="4" w:space="0"/>
            </w:tcBorders>
            <w:vAlign w:val="center"/>
          </w:tcPr>
          <w:p w14:paraId="0AA8061E">
            <w:pPr>
              <w:widowControl/>
              <w:spacing w:line="240" w:lineRule="exact"/>
              <w:jc w:val="center"/>
              <w:rPr>
                <w:rFonts w:hint="eastAsia" w:ascii="宋体" w:hAnsi="宋体" w:eastAsia="宋体" w:cs="宋体"/>
                <w:kern w:val="0"/>
                <w:sz w:val="18"/>
                <w:szCs w:val="18"/>
              </w:rPr>
            </w:pPr>
          </w:p>
        </w:tc>
      </w:tr>
    </w:tbl>
    <w:p w14:paraId="4E032A89">
      <w:pPr>
        <w:spacing w:line="600" w:lineRule="exact"/>
        <w:rPr>
          <w:rFonts w:hint="eastAsia" w:ascii="宋体" w:hAnsi="宋体" w:eastAsia="宋体" w:cs="宋体"/>
          <w:b/>
          <w:color w:val="000000"/>
          <w:kern w:val="0"/>
          <w:sz w:val="22"/>
          <w:szCs w:val="24"/>
        </w:rPr>
      </w:pPr>
    </w:p>
    <w:p w14:paraId="023B4114">
      <w:pPr>
        <w:rPr>
          <w:rFonts w:ascii="仿宋_GB2312" w:hAnsi="Times New Roman" w:eastAsia="仿宋_GB2312" w:cs="Times New Roman"/>
          <w:b/>
          <w:sz w:val="44"/>
          <w:szCs w:val="44"/>
        </w:rPr>
      </w:pPr>
      <w:r>
        <w:rPr>
          <w:rFonts w:ascii="仿宋_GB2312" w:hAnsi="Times New Roman" w:eastAsia="仿宋_GB2312" w:cs="Times New Roman"/>
          <w:b/>
          <w:sz w:val="44"/>
          <w:szCs w:val="44"/>
        </w:rPr>
        <w:br w:type="page"/>
      </w:r>
    </w:p>
    <w:p w14:paraId="46F4E877">
      <w:pPr>
        <w:jc w:val="center"/>
        <w:rPr>
          <w:rFonts w:ascii="仿宋_GB2312" w:hAnsi="Times New Roman" w:eastAsia="仿宋_GB2312" w:cs="Times New Roman"/>
          <w:b/>
          <w:sz w:val="44"/>
          <w:szCs w:val="44"/>
        </w:rPr>
      </w:pPr>
    </w:p>
    <w:p w14:paraId="0FE55BCD">
      <w:pPr>
        <w:jc w:val="center"/>
        <w:rPr>
          <w:rFonts w:ascii="Times New Roman" w:hAnsi="Times New Roman" w:eastAsia="宋体" w:cs="Times New Roman"/>
          <w:sz w:val="52"/>
          <w:szCs w:val="52"/>
        </w:rPr>
      </w:pPr>
      <w:r>
        <w:rPr>
          <w:rFonts w:hint="eastAsia" w:ascii="Times New Roman" w:hAnsi="Times New Roman" w:eastAsia="宋体" w:cs="Times New Roman"/>
          <w:b/>
          <w:sz w:val="52"/>
          <w:szCs w:val="52"/>
        </w:rPr>
        <w:t>西城区项目支出绩效报告</w:t>
      </w:r>
      <w:bookmarkEnd w:id="0"/>
      <w:bookmarkEnd w:id="1"/>
    </w:p>
    <w:p w14:paraId="6CFF7C38">
      <w:pPr>
        <w:adjustRightInd w:val="0"/>
        <w:snapToGrid w:val="0"/>
        <w:spacing w:before="100" w:beforeAutospacing="1" w:after="100" w:afterAutospacing="1" w:line="312" w:lineRule="auto"/>
        <w:ind w:firstLine="600"/>
        <w:jc w:val="center"/>
        <w:rPr>
          <w:rFonts w:ascii="仿宋_GB2312" w:hAnsi="Times New Roman" w:eastAsia="宋体" w:cs="Times New Roman"/>
          <w:sz w:val="30"/>
          <w:szCs w:val="30"/>
        </w:rPr>
      </w:pPr>
    </w:p>
    <w:p w14:paraId="204D6BC1">
      <w:pPr>
        <w:spacing w:before="100" w:beforeAutospacing="1" w:after="100" w:afterAutospacing="1" w:line="312" w:lineRule="auto"/>
        <w:jc w:val="center"/>
        <w:rPr>
          <w:rFonts w:hint="eastAsia" w:ascii="仿宋_GB2312" w:hAnsi="宋体" w:eastAsia="宋体" w:cs="Times New Roman"/>
          <w:sz w:val="32"/>
          <w:szCs w:val="32"/>
        </w:rPr>
      </w:pPr>
      <w:r>
        <w:rPr>
          <w:rFonts w:hint="eastAsia" w:ascii="仿宋_GB2312" w:hAnsi="宋体" w:eastAsia="宋体" w:cs="Times New Roman"/>
          <w:sz w:val="32"/>
          <w:szCs w:val="32"/>
        </w:rPr>
        <w:t>（2024年度）</w:t>
      </w:r>
    </w:p>
    <w:p w14:paraId="552B84E2">
      <w:pPr>
        <w:spacing w:before="100" w:beforeAutospacing="1" w:after="100" w:afterAutospacing="1" w:line="312" w:lineRule="auto"/>
        <w:ind w:firstLine="600"/>
        <w:rPr>
          <w:rFonts w:ascii="仿宋_GB2312" w:hAnsi="Times New Roman" w:eastAsia="宋体" w:cs="Times New Roman"/>
          <w:sz w:val="30"/>
          <w:szCs w:val="24"/>
        </w:rPr>
      </w:pPr>
    </w:p>
    <w:p w14:paraId="0195ADAB">
      <w:pPr>
        <w:spacing w:before="100" w:beforeAutospacing="1" w:after="100" w:afterAutospacing="1" w:line="312" w:lineRule="auto"/>
        <w:ind w:firstLine="600"/>
        <w:rPr>
          <w:rFonts w:ascii="仿宋_GB2312" w:hAnsi="Times New Roman" w:eastAsia="宋体" w:cs="Times New Roman"/>
          <w:sz w:val="30"/>
          <w:szCs w:val="24"/>
        </w:rPr>
      </w:pPr>
    </w:p>
    <w:p w14:paraId="66342B3F">
      <w:pPr>
        <w:spacing w:before="100" w:beforeAutospacing="1" w:after="100" w:afterAutospacing="1" w:line="312" w:lineRule="auto"/>
        <w:ind w:firstLine="600"/>
        <w:rPr>
          <w:rFonts w:ascii="仿宋_GB2312" w:hAnsi="Times New Roman" w:eastAsia="宋体" w:cs="Times New Roman"/>
          <w:sz w:val="30"/>
          <w:szCs w:val="24"/>
        </w:rPr>
      </w:pPr>
    </w:p>
    <w:p w14:paraId="7A6BFD94">
      <w:pPr>
        <w:spacing w:before="100" w:beforeAutospacing="1" w:after="100" w:afterAutospacing="1" w:line="312" w:lineRule="auto"/>
        <w:ind w:firstLine="600"/>
        <w:rPr>
          <w:rFonts w:ascii="仿宋_GB2312" w:hAnsi="Times New Roman" w:eastAsia="宋体" w:cs="Times New Roman"/>
          <w:sz w:val="30"/>
          <w:szCs w:val="24"/>
        </w:rPr>
      </w:pPr>
    </w:p>
    <w:p w14:paraId="1BEC1F70">
      <w:pPr>
        <w:spacing w:before="100" w:beforeAutospacing="1" w:after="100" w:afterAutospacing="1" w:line="312" w:lineRule="auto"/>
        <w:ind w:firstLine="600"/>
        <w:rPr>
          <w:rFonts w:ascii="仿宋_GB2312" w:hAnsi="Times New Roman" w:eastAsia="宋体" w:cs="Times New Roman"/>
          <w:sz w:val="30"/>
          <w:szCs w:val="24"/>
        </w:rPr>
      </w:pPr>
    </w:p>
    <w:p w14:paraId="4C7ECB27">
      <w:pPr>
        <w:spacing w:before="100" w:beforeAutospacing="1" w:after="100" w:afterAutospacing="1" w:line="312" w:lineRule="auto"/>
        <w:ind w:firstLine="899" w:firstLineChars="281"/>
        <w:rPr>
          <w:rFonts w:hint="eastAsia" w:ascii="仿宋_GB2312" w:hAnsi="宋体" w:eastAsia="宋体" w:cs="Times New Roman"/>
          <w:sz w:val="32"/>
          <w:szCs w:val="32"/>
          <w:u w:val="single"/>
        </w:rPr>
      </w:pPr>
    </w:p>
    <w:p w14:paraId="37446B3D">
      <w:pPr>
        <w:spacing w:before="100" w:beforeAutospacing="1" w:after="100" w:afterAutospacing="1" w:line="312" w:lineRule="auto"/>
        <w:ind w:firstLine="899" w:firstLineChars="281"/>
        <w:rPr>
          <w:rFonts w:hint="eastAsia" w:ascii="仿宋_GB2312" w:hAnsi="宋体" w:eastAsia="宋体" w:cs="Times New Roman"/>
          <w:sz w:val="32"/>
          <w:szCs w:val="32"/>
        </w:rPr>
      </w:pPr>
      <w:r>
        <w:rPr>
          <w:rFonts w:hint="eastAsia" w:ascii="仿宋_GB2312" w:hAnsi="宋体" w:eastAsia="宋体" w:cs="Times New Roman"/>
          <w:sz w:val="32"/>
          <w:szCs w:val="32"/>
        </w:rPr>
        <w:t>部门名称</w:t>
      </w:r>
      <w:r>
        <w:rPr>
          <w:rFonts w:hint="eastAsia" w:ascii="仿宋_GB2312" w:hAnsi="宋体" w:eastAsia="宋体" w:cs="Times New Roman"/>
          <w:sz w:val="32"/>
          <w:szCs w:val="32"/>
          <w:u w:val="single"/>
        </w:rPr>
        <w:t xml:space="preserve">     北京市华远集团有限公司     </w:t>
      </w:r>
    </w:p>
    <w:p w14:paraId="24191414">
      <w:pPr>
        <w:spacing w:line="560" w:lineRule="exact"/>
        <w:rPr>
          <w:rFonts w:hint="eastAsia" w:ascii="仿宋_GB2312" w:hAnsi="宋体" w:eastAsia="仿宋_GB2312" w:cs="Arial"/>
          <w:b/>
          <w:bCs/>
          <w:sz w:val="28"/>
          <w:szCs w:val="28"/>
        </w:rPr>
      </w:pPr>
      <w:r>
        <w:rPr>
          <w:rFonts w:ascii="仿宋_GB2312" w:hAnsi="宋体" w:eastAsia="宋体" w:cs="Times New Roman"/>
          <w:sz w:val="32"/>
          <w:szCs w:val="32"/>
          <w:u w:val="single"/>
        </w:rPr>
        <w:br w:type="page"/>
      </w:r>
      <w:r>
        <w:rPr>
          <w:rFonts w:hint="eastAsia" w:ascii="仿宋_GB2312" w:hAnsi="宋体" w:eastAsia="仿宋_GB2312" w:cs="Arial"/>
          <w:b/>
          <w:bCs/>
          <w:sz w:val="28"/>
          <w:szCs w:val="28"/>
        </w:rPr>
        <w:t>一、基本情况</w:t>
      </w:r>
    </w:p>
    <w:p w14:paraId="71240D11">
      <w:pPr>
        <w:spacing w:line="560" w:lineRule="exact"/>
        <w:rPr>
          <w:rFonts w:hint="eastAsia" w:ascii="仿宋_GB2312" w:hAnsi="宋体" w:eastAsia="仿宋_GB2312" w:cs="Arial"/>
          <w:sz w:val="28"/>
          <w:szCs w:val="28"/>
        </w:rPr>
      </w:pPr>
      <w:r>
        <w:rPr>
          <w:rFonts w:hint="eastAsia" w:ascii="仿宋_GB2312" w:hAnsi="宋体" w:eastAsia="仿宋_GB2312" w:cs="Arial"/>
          <w:sz w:val="28"/>
          <w:szCs w:val="28"/>
        </w:rPr>
        <w:t>（一）项目概况</w:t>
      </w:r>
    </w:p>
    <w:p w14:paraId="0F164229">
      <w:pPr>
        <w:spacing w:line="560" w:lineRule="exact"/>
        <w:ind w:firstLine="560" w:firstLineChars="200"/>
        <w:rPr>
          <w:rFonts w:hint="eastAsia" w:ascii="仿宋_GB2312" w:hAnsi="宋体" w:eastAsia="仿宋_GB2312" w:cs="Arial"/>
          <w:sz w:val="28"/>
          <w:szCs w:val="28"/>
        </w:rPr>
      </w:pPr>
      <w:r>
        <w:rPr>
          <w:rFonts w:hint="eastAsia" w:ascii="仿宋_GB2312" w:hAnsi="宋体" w:eastAsia="仿宋_GB2312" w:cs="Arial"/>
          <w:sz w:val="28"/>
          <w:szCs w:val="28"/>
        </w:rPr>
        <w:t>西城区-门头沟区结对协作华远华中心商业及酒店项目是落实《西城区门头沟区新时代高质量推动生态涵养区生态保护和绿色发展结对协作框架协议（2023-2027年）》的重点工程，旨在通过盘活华远集团闲置资产，推动两区协同发展，提升门头沟区域整体配套服务水平。</w:t>
      </w:r>
    </w:p>
    <w:p w14:paraId="63F4D178">
      <w:pPr>
        <w:spacing w:line="560" w:lineRule="exact"/>
        <w:ind w:firstLine="560" w:firstLineChars="200"/>
        <w:rPr>
          <w:rFonts w:hint="eastAsia" w:ascii="仿宋_GB2312" w:hAnsi="宋体" w:eastAsia="仿宋_GB2312" w:cs="Arial"/>
          <w:sz w:val="28"/>
          <w:szCs w:val="28"/>
        </w:rPr>
      </w:pPr>
      <w:r>
        <w:rPr>
          <w:rFonts w:hint="eastAsia" w:ascii="仿宋_GB2312" w:hAnsi="宋体" w:eastAsia="仿宋_GB2312" w:cs="Arial"/>
          <w:sz w:val="28"/>
          <w:szCs w:val="28"/>
        </w:rPr>
        <w:t>项目位于门头沟区龙泉镇新桥大街西侧，总建筑面积58,968.74平方米，包含酒店业态28,357.92平方米和商业业态30,610.82平方米。</w:t>
      </w:r>
      <w:bookmarkStart w:id="2" w:name="_GoBack"/>
      <w:bookmarkEnd w:id="2"/>
      <w:r>
        <w:rPr>
          <w:rFonts w:hint="eastAsia" w:ascii="仿宋_GB2312" w:hAnsi="宋体" w:eastAsia="仿宋_GB2312" w:cs="Arial"/>
          <w:sz w:val="28"/>
          <w:szCs w:val="28"/>
        </w:rPr>
        <w:t>经西城区财政局委托第三方机构进行事前绩效评估，2024年度批准国有资本经营预算资金56万元，专项用于酒店业态前期设计费支持。</w:t>
      </w:r>
    </w:p>
    <w:p w14:paraId="4214D9BC">
      <w:pPr>
        <w:spacing w:line="560" w:lineRule="exact"/>
        <w:ind w:firstLine="560" w:firstLineChars="200"/>
        <w:rPr>
          <w:rFonts w:hint="eastAsia" w:ascii="仿宋_GB2312" w:hAnsi="宋体" w:eastAsia="仿宋_GB2312" w:cs="Arial"/>
          <w:sz w:val="28"/>
          <w:szCs w:val="28"/>
        </w:rPr>
      </w:pPr>
      <w:r>
        <w:rPr>
          <w:rFonts w:hint="eastAsia" w:ascii="仿宋_GB2312" w:hAnsi="宋体" w:eastAsia="仿宋_GB2312" w:cs="Arial"/>
          <w:sz w:val="28"/>
          <w:szCs w:val="28"/>
        </w:rPr>
        <w:t>2024年度项目实施重点包括：一是妥善处理建筑受洪灾冲击后的结构安全及修复工程，确保项目安全推进；二是完成商业部分改造并实现开业运营，打造区域商业新标杆；三是推进酒店部分业态定位、方案设计等前期工作，为后续改造奠定基础。</w:t>
      </w:r>
    </w:p>
    <w:p w14:paraId="34F1E5C7">
      <w:pPr>
        <w:spacing w:line="560" w:lineRule="exact"/>
        <w:rPr>
          <w:rFonts w:hint="eastAsia" w:ascii="仿宋_GB2312" w:hAnsi="宋体" w:eastAsia="仿宋_GB2312" w:cs="Arial"/>
          <w:sz w:val="28"/>
          <w:szCs w:val="28"/>
        </w:rPr>
      </w:pPr>
      <w:r>
        <w:rPr>
          <w:rFonts w:hint="eastAsia" w:ascii="仿宋_GB2312" w:hAnsi="宋体" w:eastAsia="仿宋_GB2312" w:cs="Arial"/>
          <w:sz w:val="28"/>
          <w:szCs w:val="28"/>
        </w:rPr>
        <w:t>（二）项目绩效目标</w:t>
      </w:r>
    </w:p>
    <w:p w14:paraId="3F08CD06">
      <w:pPr>
        <w:spacing w:line="560" w:lineRule="exact"/>
        <w:ind w:firstLine="560" w:firstLineChars="200"/>
        <w:rPr>
          <w:rFonts w:hint="eastAsia" w:ascii="仿宋_GB2312" w:hAnsi="宋体" w:eastAsia="仿宋_GB2312" w:cs="Arial"/>
          <w:sz w:val="28"/>
          <w:szCs w:val="28"/>
        </w:rPr>
      </w:pPr>
      <w:r>
        <w:rPr>
          <w:rFonts w:hint="eastAsia" w:ascii="仿宋_GB2312" w:hAnsi="宋体" w:eastAsia="仿宋_GB2312" w:cs="Arial"/>
          <w:sz w:val="28"/>
          <w:szCs w:val="28"/>
        </w:rPr>
        <w:t>项目年度总体目标为：2024年内完成门头沟华中心项目公司组建，妥善处理好建筑受洪灾冲击后的结构安全及修复工程；完成商业部分的改造筹开，实现商业部分建筑面积超过3万平方米的改造并开业；完成酒店部分业态定位、方案设计施工和二次机电安装的前期工作。通过项目实施，推动商业提质升级，助力门头沟城市快速发展，改善区域形象面貌，提升区域整体配套服务水平。</w:t>
      </w:r>
    </w:p>
    <w:p w14:paraId="4FAE2ED4">
      <w:pPr>
        <w:spacing w:line="560" w:lineRule="exact"/>
        <w:rPr>
          <w:rFonts w:hint="eastAsia" w:ascii="仿宋_GB2312" w:hAnsi="宋体" w:eastAsia="仿宋_GB2312" w:cs="Arial"/>
          <w:b/>
          <w:bCs/>
          <w:sz w:val="28"/>
          <w:szCs w:val="28"/>
        </w:rPr>
      </w:pPr>
      <w:r>
        <w:rPr>
          <w:rFonts w:hint="eastAsia" w:ascii="仿宋_GB2312" w:hAnsi="宋体" w:eastAsia="仿宋_GB2312" w:cs="Arial"/>
          <w:b/>
          <w:bCs/>
          <w:sz w:val="28"/>
          <w:szCs w:val="28"/>
        </w:rPr>
        <w:t>二、绩效评价工作开展情况</w:t>
      </w:r>
    </w:p>
    <w:p w14:paraId="68475813">
      <w:pPr>
        <w:spacing w:line="560" w:lineRule="exact"/>
        <w:rPr>
          <w:rFonts w:hint="eastAsia" w:ascii="仿宋_GB2312" w:hAnsi="宋体" w:eastAsia="仿宋_GB2312" w:cs="Arial"/>
          <w:sz w:val="28"/>
          <w:szCs w:val="28"/>
        </w:rPr>
      </w:pPr>
      <w:r>
        <w:rPr>
          <w:rFonts w:hint="eastAsia" w:ascii="仿宋_GB2312" w:hAnsi="宋体" w:eastAsia="仿宋_GB2312" w:cs="Arial"/>
          <w:sz w:val="28"/>
          <w:szCs w:val="28"/>
        </w:rPr>
        <w:t>（一）绩效评价目的、对象和范围</w:t>
      </w:r>
    </w:p>
    <w:p w14:paraId="140AC1AC">
      <w:pPr>
        <w:spacing w:line="560" w:lineRule="exact"/>
        <w:ind w:firstLine="560" w:firstLineChars="200"/>
        <w:rPr>
          <w:rFonts w:hint="eastAsia" w:ascii="仿宋_GB2312" w:hAnsi="宋体" w:eastAsia="仿宋_GB2312" w:cs="Arial"/>
          <w:sz w:val="28"/>
          <w:szCs w:val="28"/>
        </w:rPr>
      </w:pPr>
      <w:r>
        <w:rPr>
          <w:rFonts w:hint="eastAsia" w:ascii="仿宋_GB2312" w:hAnsi="宋体" w:eastAsia="仿宋_GB2312" w:cs="Arial"/>
          <w:sz w:val="28"/>
          <w:szCs w:val="28"/>
        </w:rPr>
        <w:t>本次绩效评价旨在全面评估2024年度项目实施成效，检验国有资本经营预算资金使用效果，总结项目管理经验，发现存在问题并提出改进建议。评价对象为西城区-门头沟区结对协作华远华中心商业及酒店项目2024年度56万元国有资本经营预算资金的使用情况及项目整体实施效果。评价范围涵盖项目决策、过程管理、产出完成、效益实现等全过程。</w:t>
      </w:r>
    </w:p>
    <w:p w14:paraId="7BB4A51E">
      <w:pPr>
        <w:spacing w:line="560" w:lineRule="exact"/>
        <w:rPr>
          <w:rFonts w:hint="eastAsia" w:ascii="仿宋_GB2312" w:hAnsi="宋体" w:eastAsia="仿宋_GB2312" w:cs="Arial"/>
          <w:sz w:val="28"/>
          <w:szCs w:val="28"/>
        </w:rPr>
      </w:pPr>
      <w:r>
        <w:rPr>
          <w:rFonts w:hint="eastAsia" w:ascii="仿宋_GB2312" w:hAnsi="宋体" w:eastAsia="仿宋_GB2312" w:cs="Arial"/>
          <w:sz w:val="28"/>
          <w:szCs w:val="28"/>
        </w:rPr>
        <w:t>（二）绩效评价原则、评价指标体系、评价方法、评价标准</w:t>
      </w:r>
    </w:p>
    <w:p w14:paraId="5C2F7498">
      <w:pPr>
        <w:spacing w:line="560" w:lineRule="exact"/>
        <w:ind w:firstLine="560" w:firstLineChars="200"/>
        <w:rPr>
          <w:rFonts w:hint="eastAsia" w:ascii="仿宋_GB2312" w:hAnsi="宋体" w:eastAsia="仿宋_GB2312" w:cs="Arial"/>
          <w:sz w:val="28"/>
          <w:szCs w:val="28"/>
        </w:rPr>
      </w:pPr>
      <w:r>
        <w:rPr>
          <w:rFonts w:hint="eastAsia" w:ascii="仿宋_GB2312" w:hAnsi="宋体" w:eastAsia="仿宋_GB2312" w:cs="Arial"/>
          <w:sz w:val="28"/>
          <w:szCs w:val="28"/>
        </w:rPr>
        <w:t>评价遵循科学规范、公正公开、分级分类、绩效相关的原则。评价指标体系包含产出指标（数量、质量、时效、成本）、效益指标（经济效益、社会效益、生态效益、可持续影响）和满意度指标三个一级指标，下设</w:t>
      </w:r>
      <w:r>
        <w:rPr>
          <w:rFonts w:hint="eastAsia" w:ascii="仿宋_GB2312" w:hAnsi="宋体" w:eastAsia="仿宋_GB2312" w:cs="Arial"/>
          <w:sz w:val="28"/>
          <w:szCs w:val="28"/>
          <w:lang w:val="en-US" w:eastAsia="zh-CN"/>
        </w:rPr>
        <w:t>9</w:t>
      </w:r>
      <w:r>
        <w:rPr>
          <w:rFonts w:hint="eastAsia" w:ascii="仿宋_GB2312" w:hAnsi="宋体" w:eastAsia="仿宋_GB2312" w:cs="Arial"/>
          <w:sz w:val="28"/>
          <w:szCs w:val="28"/>
        </w:rPr>
        <w:t>个三级指标。评价采用目标比较法、因素分析法等方法，依据项目申报时设定的绩效目标、行业标准及实际完成情况制定评价标准。</w:t>
      </w:r>
    </w:p>
    <w:p w14:paraId="2398DF6F">
      <w:pPr>
        <w:spacing w:line="560" w:lineRule="exact"/>
        <w:rPr>
          <w:rFonts w:hint="eastAsia" w:ascii="仿宋_GB2312" w:hAnsi="宋体" w:eastAsia="仿宋_GB2312" w:cs="Arial"/>
          <w:sz w:val="28"/>
          <w:szCs w:val="28"/>
        </w:rPr>
      </w:pPr>
      <w:r>
        <w:rPr>
          <w:rFonts w:hint="eastAsia" w:ascii="仿宋_GB2312" w:hAnsi="宋体" w:eastAsia="仿宋_GB2312" w:cs="Arial"/>
          <w:sz w:val="28"/>
          <w:szCs w:val="28"/>
        </w:rPr>
        <w:t>（三）绩效评价工作过程</w:t>
      </w:r>
    </w:p>
    <w:p w14:paraId="3AC07499">
      <w:pPr>
        <w:spacing w:line="560" w:lineRule="exact"/>
        <w:ind w:firstLine="560" w:firstLineChars="200"/>
        <w:rPr>
          <w:rFonts w:hint="eastAsia" w:ascii="仿宋_GB2312" w:hAnsi="宋体" w:eastAsia="仿宋_GB2312" w:cs="Arial"/>
          <w:sz w:val="28"/>
          <w:szCs w:val="28"/>
        </w:rPr>
      </w:pPr>
      <w:r>
        <w:rPr>
          <w:rFonts w:hint="eastAsia" w:ascii="仿宋_GB2312" w:hAnsi="宋体" w:eastAsia="仿宋_GB2312" w:cs="Arial"/>
          <w:sz w:val="28"/>
          <w:szCs w:val="28"/>
        </w:rPr>
        <w:t>绩效评价工作严格按照规范程序开展。评价工作组通过资料收集、现场调研、数据分析等方式获取评价信息</w:t>
      </w:r>
      <w:r>
        <w:rPr>
          <w:rFonts w:hint="eastAsia" w:ascii="仿宋_GB2312" w:hAnsi="宋体" w:eastAsia="仿宋_GB2312" w:cs="Arial"/>
          <w:sz w:val="28"/>
          <w:szCs w:val="28"/>
          <w:lang w:eastAsia="zh-CN"/>
        </w:rPr>
        <w:t>，</w:t>
      </w:r>
      <w:r>
        <w:rPr>
          <w:rFonts w:hint="eastAsia" w:ascii="仿宋_GB2312" w:hAnsi="宋体" w:eastAsia="仿宋_GB2312" w:cs="Arial"/>
          <w:sz w:val="28"/>
          <w:szCs w:val="28"/>
        </w:rPr>
        <w:t>对照绩效目标逐项核实完成情况，分析偏差原因；最后形成评价结论，撰写评价报告。评价过程注重客观性和全面性，确保评价结果真实可靠。</w:t>
      </w:r>
    </w:p>
    <w:p w14:paraId="0445F22B">
      <w:pPr>
        <w:spacing w:line="560" w:lineRule="exact"/>
        <w:rPr>
          <w:rFonts w:hint="eastAsia" w:ascii="仿宋_GB2312" w:hAnsi="宋体" w:eastAsia="仿宋_GB2312" w:cs="Arial"/>
          <w:b/>
          <w:bCs/>
          <w:sz w:val="28"/>
          <w:szCs w:val="28"/>
        </w:rPr>
      </w:pPr>
      <w:r>
        <w:rPr>
          <w:rFonts w:hint="eastAsia" w:ascii="仿宋_GB2312" w:hAnsi="宋体" w:eastAsia="仿宋_GB2312" w:cs="Arial"/>
          <w:b/>
          <w:bCs/>
          <w:sz w:val="28"/>
          <w:szCs w:val="28"/>
        </w:rPr>
        <w:t>三、综合评价情况及评价结论</w:t>
      </w:r>
    </w:p>
    <w:p w14:paraId="0A681445">
      <w:pPr>
        <w:spacing w:line="560" w:lineRule="exact"/>
        <w:ind w:firstLine="560" w:firstLineChars="200"/>
        <w:rPr>
          <w:rFonts w:hint="eastAsia" w:ascii="仿宋_GB2312" w:hAnsi="宋体" w:eastAsia="仿宋_GB2312" w:cs="Arial"/>
          <w:sz w:val="28"/>
          <w:szCs w:val="28"/>
        </w:rPr>
      </w:pPr>
      <w:r>
        <w:rPr>
          <w:rFonts w:hint="eastAsia" w:ascii="仿宋_GB2312" w:hAnsi="宋体" w:eastAsia="仿宋_GB2312" w:cs="Arial"/>
          <w:sz w:val="28"/>
          <w:szCs w:val="28"/>
        </w:rPr>
        <w:t>经综合评价，项目2024年度绩效目标完成情况良好，自评得分95分。项目克服了"7·31"洪灾带来的重大挑战，在建筑结构受损、地下车库被淹的不利条件下，通过科学组织、精心管理，成功实现商业部分9月28日盛大开业，开业首日客流9.7万人次</w:t>
      </w:r>
      <w:r>
        <w:rPr>
          <w:rFonts w:hint="eastAsia" w:ascii="仿宋_GB2312" w:hAnsi="宋体" w:eastAsia="仿宋_GB2312" w:cs="Arial"/>
          <w:sz w:val="28"/>
          <w:szCs w:val="28"/>
          <w:lang w:eastAsia="zh-CN"/>
        </w:rPr>
        <w:t>、</w:t>
      </w:r>
      <w:r>
        <w:rPr>
          <w:rFonts w:hint="eastAsia" w:ascii="仿宋_GB2312" w:hAnsi="宋体" w:eastAsia="仿宋_GB2312" w:cs="Arial"/>
          <w:sz w:val="28"/>
          <w:szCs w:val="28"/>
        </w:rPr>
        <w:t>招商率97.54%、开业率96%，。酒店部分完成市场调研、品牌选定和设计启动等前期工作，56万元财政资金全部用于支付设计费，资金使用合规高效。项目在推动区域经济发展、提升商业品质、改善民生服务等方面发挥了重要作用，较好地完成了年度绩效目标。</w:t>
      </w:r>
    </w:p>
    <w:p w14:paraId="55DE5AD4">
      <w:pPr>
        <w:spacing w:line="560" w:lineRule="exact"/>
        <w:rPr>
          <w:rFonts w:hint="eastAsia" w:ascii="仿宋_GB2312" w:hAnsi="宋体" w:eastAsia="仿宋_GB2312" w:cs="Arial"/>
          <w:b/>
          <w:bCs/>
          <w:sz w:val="28"/>
          <w:szCs w:val="28"/>
        </w:rPr>
      </w:pPr>
      <w:r>
        <w:rPr>
          <w:rFonts w:hint="eastAsia" w:ascii="仿宋_GB2312" w:hAnsi="宋体" w:eastAsia="仿宋_GB2312" w:cs="Arial"/>
          <w:b/>
          <w:bCs/>
          <w:sz w:val="28"/>
          <w:szCs w:val="28"/>
        </w:rPr>
        <w:t>四、绩效评价指标分析</w:t>
      </w:r>
    </w:p>
    <w:p w14:paraId="4E4F66F5">
      <w:pPr>
        <w:spacing w:line="560" w:lineRule="exact"/>
        <w:rPr>
          <w:rFonts w:hint="eastAsia" w:ascii="仿宋_GB2312" w:hAnsi="宋体" w:eastAsia="仿宋_GB2312" w:cs="Arial"/>
          <w:sz w:val="28"/>
          <w:szCs w:val="28"/>
        </w:rPr>
      </w:pPr>
      <w:r>
        <w:rPr>
          <w:rFonts w:hint="eastAsia" w:ascii="仿宋_GB2312" w:hAnsi="宋体" w:eastAsia="仿宋_GB2312" w:cs="Arial"/>
          <w:sz w:val="28"/>
          <w:szCs w:val="28"/>
        </w:rPr>
        <w:t>（一）项目决策情况</w:t>
      </w:r>
    </w:p>
    <w:p w14:paraId="572DAD14">
      <w:pPr>
        <w:spacing w:line="560" w:lineRule="exact"/>
        <w:ind w:firstLine="560" w:firstLineChars="200"/>
        <w:rPr>
          <w:rFonts w:hint="eastAsia" w:ascii="仿宋_GB2312" w:hAnsi="宋体" w:eastAsia="仿宋_GB2312" w:cs="Arial"/>
          <w:sz w:val="28"/>
          <w:szCs w:val="28"/>
        </w:rPr>
      </w:pPr>
      <w:r>
        <w:rPr>
          <w:rFonts w:hint="eastAsia" w:ascii="仿宋_GB2312" w:hAnsi="宋体" w:eastAsia="仿宋_GB2312" w:cs="Arial"/>
          <w:sz w:val="28"/>
          <w:szCs w:val="28"/>
        </w:rPr>
        <w:t>项目立项依据充分，符合国家及北京市相关政策要求。项目是落实西城区与门头沟区结对协作框架协议的具体举措，经两区部门对接会议审议、纳入《西城区与门头沟区结对协作补充任务》，并经西城区政府专题会批示通过。项目定位准确，既响应了盘活闲置资源、减轻财政压力的政策导向，又契合门头沟区"一核"现代综合服务核心区建设需求。绩效目标设置合理，涵盖了商业改造开业、酒店前期设计、团队组建等关键任务，指标细化量化，具有可考核性。预算编制经过专业测算和第三方评估，56万元资金安排与酒店前期设计工作量相匹配。</w:t>
      </w:r>
    </w:p>
    <w:p w14:paraId="0E55BD92">
      <w:pPr>
        <w:spacing w:line="560" w:lineRule="exact"/>
        <w:rPr>
          <w:rFonts w:hint="eastAsia" w:ascii="仿宋_GB2312" w:hAnsi="宋体" w:eastAsia="仿宋_GB2312" w:cs="Arial"/>
          <w:sz w:val="28"/>
          <w:szCs w:val="28"/>
        </w:rPr>
      </w:pPr>
      <w:r>
        <w:rPr>
          <w:rFonts w:hint="eastAsia" w:ascii="仿宋_GB2312" w:hAnsi="宋体" w:eastAsia="仿宋_GB2312" w:cs="Arial"/>
          <w:sz w:val="28"/>
          <w:szCs w:val="28"/>
        </w:rPr>
        <w:t>（二）项目过程情况</w:t>
      </w:r>
    </w:p>
    <w:p w14:paraId="0A5653B2">
      <w:pPr>
        <w:spacing w:line="560" w:lineRule="exact"/>
        <w:ind w:firstLine="560" w:firstLineChars="200"/>
        <w:rPr>
          <w:rFonts w:hint="eastAsia" w:ascii="仿宋_GB2312" w:hAnsi="宋体" w:eastAsia="仿宋_GB2312" w:cs="Arial"/>
          <w:sz w:val="28"/>
          <w:szCs w:val="28"/>
        </w:rPr>
      </w:pPr>
      <w:r>
        <w:rPr>
          <w:rFonts w:hint="eastAsia" w:ascii="仿宋_GB2312" w:hAnsi="宋体" w:eastAsia="仿宋_GB2312" w:cs="Arial"/>
          <w:sz w:val="28"/>
          <w:szCs w:val="28"/>
        </w:rPr>
        <w:t>项目管理规范有序，建立了完善的组织架构和管理制度。华远集团成立专项筹备组，由投资发展部牵头，产品设计、工程管理、成本采购等各专业条线协同推进。面对洪灾影响，项目团队迅速响应，委托中国建筑科学研究院进行结构检测和水文地质监测，制定科学的排水清淤和结构加固方案。商业改造严格执行施工管理程序，确保工程质量和进度。酒店设计遴选程序规范，通过市场调研、方案比选，最终与洲际集团成功签约。财政资金使用严格按照国有资本经营预算管理要求，实行专款专用，支付程序合规。</w:t>
      </w:r>
    </w:p>
    <w:p w14:paraId="2CD59C59">
      <w:pPr>
        <w:spacing w:line="560" w:lineRule="exact"/>
        <w:rPr>
          <w:rFonts w:hint="eastAsia" w:ascii="仿宋_GB2312" w:hAnsi="宋体" w:eastAsia="仿宋_GB2312" w:cs="Arial"/>
          <w:sz w:val="28"/>
          <w:szCs w:val="28"/>
        </w:rPr>
      </w:pPr>
      <w:r>
        <w:rPr>
          <w:rFonts w:hint="eastAsia" w:ascii="仿宋_GB2312" w:hAnsi="宋体" w:eastAsia="仿宋_GB2312" w:cs="Arial"/>
          <w:sz w:val="28"/>
          <w:szCs w:val="28"/>
        </w:rPr>
        <w:t>（三）项目产出情况</w:t>
      </w:r>
    </w:p>
    <w:p w14:paraId="19DBBD27">
      <w:pPr>
        <w:spacing w:line="560" w:lineRule="exact"/>
        <w:ind w:firstLine="560" w:firstLineChars="200"/>
        <w:rPr>
          <w:rFonts w:hint="eastAsia" w:ascii="仿宋_GB2312" w:hAnsi="宋体" w:eastAsia="仿宋_GB2312" w:cs="Arial"/>
          <w:sz w:val="28"/>
          <w:szCs w:val="28"/>
        </w:rPr>
      </w:pPr>
      <w:r>
        <w:rPr>
          <w:rFonts w:hint="eastAsia" w:ascii="仿宋_GB2312" w:hAnsi="宋体" w:eastAsia="仿宋_GB2312" w:cs="Arial"/>
          <w:sz w:val="28"/>
          <w:szCs w:val="28"/>
        </w:rPr>
        <w:t>数量指标完成情况：项目成功完成门头沟华中心项目公司经营团队组建，建立了专业化的资产经营和运营管理团队。商业部分完成建筑面积30,610.82平方米的改造，超过3万平方米的目标要求，并于2024年9月28日成功开业。酒店部分完成业态定位和方案设计启动，确定了洲际品牌合作，客房数量约200间的设计方案正在推进中。受洪灾影响，酒店机电安装工作延至2025年实施。</w:t>
      </w:r>
    </w:p>
    <w:p w14:paraId="1DF44B33">
      <w:pPr>
        <w:spacing w:line="560" w:lineRule="exact"/>
        <w:ind w:firstLine="560" w:firstLineChars="200"/>
        <w:rPr>
          <w:rFonts w:hint="eastAsia" w:ascii="仿宋_GB2312" w:hAnsi="宋体" w:eastAsia="仿宋_GB2312" w:cs="Arial"/>
          <w:sz w:val="28"/>
          <w:szCs w:val="28"/>
        </w:rPr>
      </w:pPr>
      <w:r>
        <w:rPr>
          <w:rFonts w:hint="eastAsia" w:ascii="仿宋_GB2312" w:hAnsi="宋体" w:eastAsia="仿宋_GB2312" w:cs="Arial"/>
          <w:sz w:val="28"/>
          <w:szCs w:val="28"/>
        </w:rPr>
        <w:t>质量指标完成情况：项目成功推动商业提质升级，引入盒马生鲜、星巴克、必胜客等知名品牌，其中3家为区域首店，11家为首进品牌，有效填补了门头沟高端商业空白。通过引入亲子互动、运动娱乐、新消费零售等多元业态，打造了集购物、餐饮、娱乐、休闲于一体的一站式商业综合体，显著提升了区域商业品质和消费体验。</w:t>
      </w:r>
    </w:p>
    <w:p w14:paraId="3FF5A8B0">
      <w:pPr>
        <w:spacing w:line="560" w:lineRule="exact"/>
        <w:ind w:firstLine="560" w:firstLineChars="200"/>
        <w:rPr>
          <w:rFonts w:hint="eastAsia" w:ascii="仿宋_GB2312" w:hAnsi="宋体" w:eastAsia="仿宋_GB2312" w:cs="Arial"/>
          <w:sz w:val="28"/>
          <w:szCs w:val="28"/>
        </w:rPr>
      </w:pPr>
      <w:r>
        <w:rPr>
          <w:rFonts w:hint="eastAsia" w:ascii="仿宋_GB2312" w:hAnsi="宋体" w:eastAsia="仿宋_GB2312" w:cs="Arial"/>
          <w:sz w:val="28"/>
          <w:szCs w:val="28"/>
        </w:rPr>
        <w:t>时效指标完成情况：虽受洪灾影响导致工期调整，但项目通过优化施工组织、加快修复进度，确保商业部分在2024年内完成改造并开业运营。酒店设计工作于2024年8月启动，年底前完成设计合同签订和设计单位进场，基本符合调整后的时间要求。</w:t>
      </w:r>
    </w:p>
    <w:p w14:paraId="4E553483">
      <w:pPr>
        <w:spacing w:line="560" w:lineRule="exact"/>
        <w:ind w:firstLine="560" w:firstLineChars="200"/>
        <w:rPr>
          <w:rFonts w:hint="eastAsia" w:ascii="仿宋_GB2312" w:hAnsi="宋体" w:eastAsia="仿宋_GB2312" w:cs="Arial"/>
          <w:sz w:val="28"/>
          <w:szCs w:val="28"/>
        </w:rPr>
      </w:pPr>
      <w:r>
        <w:rPr>
          <w:rFonts w:hint="eastAsia" w:ascii="仿宋_GB2312" w:hAnsi="宋体" w:eastAsia="仿宋_GB2312" w:cs="Arial"/>
          <w:sz w:val="28"/>
          <w:szCs w:val="28"/>
        </w:rPr>
        <w:t>成本指标完成情况：通过组建专业化资管团队，强化全周期成本管控，细化成本优化方案，2024年度装修改造相关成本费用控制在预算范围内。商业改造投资约3,500万元，酒店前期设计费</w:t>
      </w:r>
      <w:r>
        <w:rPr>
          <w:rFonts w:hint="eastAsia" w:ascii="仿宋_GB2312" w:hAnsi="宋体" w:eastAsia="仿宋_GB2312" w:cs="Arial"/>
          <w:sz w:val="28"/>
          <w:szCs w:val="28"/>
          <w:lang w:val="en-US" w:eastAsia="zh-CN"/>
        </w:rPr>
        <w:t>64.35</w:t>
      </w:r>
      <w:r>
        <w:rPr>
          <w:rFonts w:hint="eastAsia" w:ascii="仿宋_GB2312" w:hAnsi="宋体" w:eastAsia="仿宋_GB2312" w:cs="Arial"/>
          <w:sz w:val="28"/>
          <w:szCs w:val="28"/>
        </w:rPr>
        <w:t>万元。</w:t>
      </w:r>
    </w:p>
    <w:p w14:paraId="35CC77DB">
      <w:pPr>
        <w:spacing w:line="560" w:lineRule="exact"/>
        <w:rPr>
          <w:rFonts w:hint="eastAsia" w:ascii="仿宋_GB2312" w:hAnsi="宋体" w:eastAsia="仿宋_GB2312" w:cs="Arial"/>
          <w:sz w:val="28"/>
          <w:szCs w:val="28"/>
        </w:rPr>
      </w:pPr>
      <w:r>
        <w:rPr>
          <w:rFonts w:hint="eastAsia" w:ascii="仿宋_GB2312" w:hAnsi="宋体" w:eastAsia="仿宋_GB2312" w:cs="Arial"/>
          <w:sz w:val="28"/>
          <w:szCs w:val="28"/>
        </w:rPr>
        <w:t>（四）项目效益情况</w:t>
      </w:r>
    </w:p>
    <w:p w14:paraId="001EE67A">
      <w:pPr>
        <w:spacing w:line="560" w:lineRule="exact"/>
        <w:ind w:firstLine="560" w:firstLineChars="200"/>
        <w:rPr>
          <w:rFonts w:hint="eastAsia" w:ascii="仿宋_GB2312" w:hAnsi="宋体" w:eastAsia="仿宋_GB2312" w:cs="Arial"/>
          <w:sz w:val="28"/>
          <w:szCs w:val="28"/>
        </w:rPr>
      </w:pPr>
      <w:r>
        <w:rPr>
          <w:rFonts w:hint="eastAsia" w:ascii="仿宋_GB2312" w:hAnsi="宋体" w:eastAsia="仿宋_GB2312" w:cs="Arial"/>
          <w:sz w:val="28"/>
          <w:szCs w:val="28"/>
        </w:rPr>
        <w:t>经济效益分析：商业项目2024年9月28日开业以来，经营业绩超出预期。客流量超过60万人次。项目招商率达到97.54%，开业率96%，远超80%的目标值。租金收入稳定增长，为集团创造了良好的经济回报。门头沟区政府对项目运营成效给予高度认可，专项奖励资金1,000万元，充分体现了项目的经济价值。</w:t>
      </w:r>
    </w:p>
    <w:p w14:paraId="3C7C8899">
      <w:pPr>
        <w:spacing w:line="560" w:lineRule="exact"/>
        <w:ind w:firstLine="560" w:firstLineChars="200"/>
        <w:rPr>
          <w:rFonts w:hint="eastAsia" w:ascii="仿宋_GB2312" w:hAnsi="宋体" w:eastAsia="仿宋_GB2312" w:cs="Arial"/>
          <w:sz w:val="28"/>
          <w:szCs w:val="28"/>
        </w:rPr>
      </w:pPr>
      <w:r>
        <w:rPr>
          <w:rFonts w:hint="eastAsia" w:ascii="仿宋_GB2312" w:hAnsi="宋体" w:eastAsia="仿宋_GB2312" w:cs="Arial"/>
          <w:sz w:val="28"/>
          <w:szCs w:val="28"/>
        </w:rPr>
        <w:t>社会效益分析：项目显著改善了门头沟区域形象面貌，成为区域商业更新的标杆。通过提供高品质的商业服务，满足了周边30万居民的生活配套需求，日均客流超过1万人次，周末超过2万人次，极大地提升了居民生活便利性和幸福感。项目创造了大量就业岗位，带动了周边配套产业发展，为区域经济注入新活力。作为两区结对协作的重要成果，项目增进了西城区与门头沟区的协作关系，为后续深化合作奠定了基础。</w:t>
      </w:r>
    </w:p>
    <w:p w14:paraId="10912ADB">
      <w:pPr>
        <w:spacing w:line="560" w:lineRule="exact"/>
        <w:ind w:firstLine="560" w:firstLineChars="200"/>
        <w:rPr>
          <w:rFonts w:hint="eastAsia" w:ascii="仿宋_GB2312" w:hAnsi="宋体" w:eastAsia="仿宋_GB2312" w:cs="Arial"/>
          <w:sz w:val="28"/>
          <w:szCs w:val="28"/>
        </w:rPr>
      </w:pPr>
      <w:r>
        <w:rPr>
          <w:rFonts w:hint="eastAsia" w:ascii="仿宋_GB2312" w:hAnsi="宋体" w:eastAsia="仿宋_GB2312" w:cs="Arial"/>
          <w:sz w:val="28"/>
          <w:szCs w:val="28"/>
        </w:rPr>
        <w:t>生态效益分析：项目高度重视绿色发展理念，启动了商业厨房节能改造方案研究和楼宇智慧能源管理系统设计工作。通过制定不同场景下的节能减排技术路线，规划采用高效节能设备、智能照明系统、新风热回收系统等技术手段，预期将实现能耗降低15%以上的目标。虽然相关改造工程尚在设计阶段，但已为项目未来的绿色运营奠定了良好基础。</w:t>
      </w:r>
    </w:p>
    <w:p w14:paraId="2C25CA2F">
      <w:pPr>
        <w:spacing w:line="560" w:lineRule="exact"/>
        <w:ind w:firstLine="560" w:firstLineChars="200"/>
        <w:rPr>
          <w:rFonts w:ascii="仿宋_GB2312" w:hAnsi="宋体" w:eastAsia="仿宋_GB2312" w:cs="Arial"/>
          <w:sz w:val="28"/>
          <w:szCs w:val="28"/>
        </w:rPr>
      </w:pPr>
      <w:r>
        <w:rPr>
          <w:rFonts w:hint="eastAsia" w:ascii="仿宋_GB2312" w:hAnsi="宋体" w:eastAsia="仿宋_GB2312" w:cs="Arial"/>
          <w:sz w:val="28"/>
          <w:szCs w:val="28"/>
        </w:rPr>
        <w:t>可持续影响分析：项目启动了可视化智能运维系统的规划设计，通过搭建数字化管理平台，将实现设施设备智能监控、能源管理优化、运营数据分析等功能，为项目长期稳定运营提供技术支撑。项目成功的商业运营模式为集团轻资产转型积累了宝贵经验，形成了可复制推广的城市更新范例。通过持续优化业态组合、提升服务品质，项目将保持长期竞争力，实现经济效益与社会效益的可持续发展。</w:t>
      </w:r>
    </w:p>
    <w:p w14:paraId="3A8D0957">
      <w:pPr>
        <w:spacing w:line="560" w:lineRule="exact"/>
        <w:ind w:firstLine="560" w:firstLineChars="200"/>
        <w:rPr>
          <w:rFonts w:ascii="仿宋_GB2312" w:hAnsi="宋体" w:eastAsia="仿宋_GB2312" w:cs="Arial"/>
          <w:sz w:val="28"/>
          <w:szCs w:val="28"/>
        </w:rPr>
      </w:pPr>
      <w:r>
        <w:rPr>
          <w:rFonts w:hint="eastAsia" w:ascii="仿宋_GB2312" w:hAnsi="宋体" w:eastAsia="仿宋_GB2312" w:cs="Arial"/>
          <w:sz w:val="28"/>
          <w:szCs w:val="28"/>
        </w:rPr>
        <w:t>（五）项目满意度情况</w:t>
      </w:r>
    </w:p>
    <w:p w14:paraId="57CDEE8A">
      <w:pPr>
        <w:spacing w:line="560" w:lineRule="exact"/>
        <w:ind w:firstLine="560" w:firstLineChars="200"/>
        <w:rPr>
          <w:rFonts w:hint="eastAsia" w:ascii="仿宋_GB2312" w:hAnsi="宋体" w:eastAsia="仿宋_GB2312" w:cs="Arial"/>
          <w:sz w:val="28"/>
          <w:szCs w:val="28"/>
        </w:rPr>
      </w:pPr>
      <w:r>
        <w:rPr>
          <w:rFonts w:ascii="仿宋_GB2312" w:hAnsi="宋体" w:eastAsia="仿宋_GB2312" w:cs="Arial"/>
          <w:sz w:val="28"/>
          <w:szCs w:val="28"/>
        </w:rPr>
        <w:t>满意度指标</w:t>
      </w:r>
      <w:r>
        <w:rPr>
          <w:rFonts w:hint="eastAsia" w:ascii="仿宋_GB2312" w:hAnsi="宋体" w:eastAsia="仿宋_GB2312" w:cs="Arial"/>
          <w:sz w:val="28"/>
          <w:szCs w:val="28"/>
        </w:rPr>
        <w:t>分析</w:t>
      </w:r>
      <w:r>
        <w:rPr>
          <w:rFonts w:ascii="仿宋_GB2312" w:hAnsi="宋体" w:eastAsia="仿宋_GB2312" w:cs="Arial"/>
          <w:sz w:val="28"/>
          <w:szCs w:val="28"/>
        </w:rPr>
        <w:t>：项目服务对象满意度指标圆满完成，通过建立完善的商户服务体系和沟通机制，为招商商户提供了高品质的一站式服务支持，包括装修指导、开业协助、日常运营支持等全方位服务。项目运营团队设立专门的商户服务团队，建立商户关系管理系统，定期走访商户了解经营状况和服务需求，及时响应解决商户反馈的问题。针对新入驻商户提供开业前培训、客流导入支持等特色服务，帮助商户快速适应市场环境。在租户稳定性方面，项目通过提供灵活的租赁政策、合理的租金水平、优质的物业管理服务，有效降低了商户流失率。截至2024年底，商户满意度保持在95%以上，未来换租率预期控制在8%以内，充分体现了商户对项目运营管理和服务质量的高度认可，为项目长期稳定发展奠定了良好基础。</w:t>
      </w:r>
    </w:p>
    <w:p w14:paraId="40CA3083">
      <w:pPr>
        <w:spacing w:line="560" w:lineRule="exact"/>
        <w:rPr>
          <w:rFonts w:hint="eastAsia" w:ascii="仿宋_GB2312" w:hAnsi="宋体" w:eastAsia="仿宋_GB2312" w:cs="Arial"/>
          <w:b/>
          <w:bCs/>
          <w:sz w:val="28"/>
          <w:szCs w:val="28"/>
        </w:rPr>
      </w:pPr>
      <w:r>
        <w:rPr>
          <w:rFonts w:hint="eastAsia" w:ascii="仿宋_GB2312" w:hAnsi="宋体" w:eastAsia="仿宋_GB2312" w:cs="Arial"/>
          <w:b/>
          <w:bCs/>
          <w:sz w:val="28"/>
          <w:szCs w:val="28"/>
        </w:rPr>
        <w:t>五、主要经验及做法、存在的问题及原因分析</w:t>
      </w:r>
    </w:p>
    <w:p w14:paraId="27B3D75A">
      <w:pPr>
        <w:spacing w:line="560" w:lineRule="exact"/>
        <w:rPr>
          <w:rFonts w:hint="eastAsia" w:ascii="仿宋_GB2312" w:hAnsi="宋体" w:eastAsia="仿宋_GB2312" w:cs="Arial"/>
          <w:sz w:val="28"/>
          <w:szCs w:val="28"/>
        </w:rPr>
      </w:pPr>
      <w:r>
        <w:rPr>
          <w:rFonts w:hint="eastAsia" w:ascii="仿宋_GB2312" w:hAnsi="宋体" w:eastAsia="仿宋_GB2312" w:cs="Arial"/>
          <w:sz w:val="28"/>
          <w:szCs w:val="28"/>
        </w:rPr>
        <w:t>（一）主要经验及做法</w:t>
      </w:r>
    </w:p>
    <w:p w14:paraId="39594F4B">
      <w:pPr>
        <w:spacing w:line="560" w:lineRule="exact"/>
        <w:ind w:firstLine="560" w:firstLineChars="200"/>
        <w:rPr>
          <w:rFonts w:hint="eastAsia" w:ascii="仿宋_GB2312" w:hAnsi="宋体" w:eastAsia="仿宋_GB2312" w:cs="Arial"/>
          <w:sz w:val="28"/>
          <w:szCs w:val="28"/>
        </w:rPr>
      </w:pPr>
      <w:r>
        <w:rPr>
          <w:rFonts w:hint="eastAsia" w:ascii="仿宋_GB2312" w:hAnsi="宋体" w:eastAsia="仿宋_GB2312" w:cs="Arial"/>
          <w:sz w:val="28"/>
          <w:szCs w:val="28"/>
        </w:rPr>
        <w:t>1.建立高效的应急响应机制。面对突发洪灾，项目团队迅速启动应急预案，第一时间组织专业力量进行灾害评估和修复，最大限度减少了灾害影响，确保了项目按期推进。</w:t>
      </w:r>
    </w:p>
    <w:p w14:paraId="3243C18B">
      <w:pPr>
        <w:spacing w:line="560" w:lineRule="exact"/>
        <w:ind w:firstLine="560" w:firstLineChars="200"/>
        <w:rPr>
          <w:rFonts w:hint="eastAsia" w:ascii="仿宋_GB2312" w:hAnsi="宋体" w:eastAsia="仿宋_GB2312" w:cs="Arial"/>
          <w:sz w:val="28"/>
          <w:szCs w:val="28"/>
        </w:rPr>
      </w:pPr>
      <w:r>
        <w:rPr>
          <w:rFonts w:hint="eastAsia" w:ascii="仿宋_GB2312" w:hAnsi="宋体" w:eastAsia="仿宋_GB2312" w:cs="Arial"/>
          <w:sz w:val="28"/>
          <w:szCs w:val="28"/>
        </w:rPr>
        <w:t>2.坚持市场化运作理念。通过精准的市场定位、科学的业态组合、专业的招商运营，打造了符合区域消费需求的商业综合体，实现了社会效益与经济效益的双赢。</w:t>
      </w:r>
    </w:p>
    <w:p w14:paraId="6C64CE68">
      <w:pPr>
        <w:spacing w:line="560" w:lineRule="exact"/>
        <w:ind w:firstLine="560" w:firstLineChars="200"/>
        <w:rPr>
          <w:rFonts w:hint="eastAsia" w:ascii="仿宋_GB2312" w:hAnsi="宋体" w:eastAsia="仿宋_GB2312" w:cs="Arial"/>
          <w:sz w:val="28"/>
          <w:szCs w:val="28"/>
        </w:rPr>
      </w:pPr>
      <w:r>
        <w:rPr>
          <w:rFonts w:hint="eastAsia" w:ascii="仿宋_GB2312" w:hAnsi="宋体" w:eastAsia="仿宋_GB2312" w:cs="Arial"/>
          <w:sz w:val="28"/>
          <w:szCs w:val="28"/>
        </w:rPr>
        <w:t>3.强化专业化团队建设。组建了涵盖投资、设计、工程、运营等专业领域的复合型团队，为项目高质量实施提供了人才保障。</w:t>
      </w:r>
    </w:p>
    <w:p w14:paraId="724F4E9C">
      <w:pPr>
        <w:spacing w:line="560" w:lineRule="exact"/>
        <w:ind w:firstLine="560" w:firstLineChars="200"/>
        <w:rPr>
          <w:rFonts w:hint="eastAsia" w:ascii="仿宋_GB2312" w:hAnsi="宋体" w:eastAsia="仿宋_GB2312" w:cs="Arial"/>
          <w:sz w:val="28"/>
          <w:szCs w:val="28"/>
        </w:rPr>
      </w:pPr>
      <w:r>
        <w:rPr>
          <w:rFonts w:hint="eastAsia" w:ascii="仿宋_GB2312" w:hAnsi="宋体" w:eastAsia="仿宋_GB2312" w:cs="Arial"/>
          <w:sz w:val="28"/>
          <w:szCs w:val="28"/>
        </w:rPr>
        <w:t>4.注重品牌引领作用。通过引入知名品牌和首店经济，提升了项目的市场号召力和区域影响力，形成了良好的聚集效应。</w:t>
      </w:r>
    </w:p>
    <w:p w14:paraId="6787A6FD">
      <w:pPr>
        <w:spacing w:line="560" w:lineRule="exact"/>
        <w:rPr>
          <w:rFonts w:hint="eastAsia" w:ascii="仿宋_GB2312" w:hAnsi="宋体" w:eastAsia="仿宋_GB2312" w:cs="Arial"/>
          <w:sz w:val="28"/>
          <w:szCs w:val="28"/>
        </w:rPr>
      </w:pPr>
      <w:r>
        <w:rPr>
          <w:rFonts w:hint="eastAsia" w:ascii="仿宋_GB2312" w:hAnsi="宋体" w:eastAsia="仿宋_GB2312" w:cs="Arial"/>
          <w:sz w:val="28"/>
          <w:szCs w:val="28"/>
        </w:rPr>
        <w:t>（二）存在的问题及原因分析</w:t>
      </w:r>
    </w:p>
    <w:p w14:paraId="5A1E1C8A">
      <w:pPr>
        <w:spacing w:line="560" w:lineRule="exact"/>
        <w:ind w:firstLine="560" w:firstLineChars="200"/>
        <w:rPr>
          <w:rFonts w:hint="eastAsia" w:ascii="仿宋_GB2312" w:hAnsi="宋体" w:eastAsia="仿宋_GB2312" w:cs="Arial"/>
          <w:sz w:val="28"/>
          <w:szCs w:val="28"/>
        </w:rPr>
      </w:pPr>
      <w:r>
        <w:rPr>
          <w:rFonts w:hint="eastAsia" w:ascii="仿宋_GB2312" w:hAnsi="宋体" w:eastAsia="仿宋_GB2312" w:cs="Arial"/>
          <w:sz w:val="28"/>
          <w:szCs w:val="28"/>
        </w:rPr>
        <w:t>1.洪灾影响导致项目进度调整。2023年"7·31"特大暴雨造成项目地下车库及商业部分受损，虽经全力抢修恢复，但仍对整体工期产生了一定影响，特别是酒店部分的机电安装工作被迫延期。</w:t>
      </w:r>
    </w:p>
    <w:p w14:paraId="5039B1CC">
      <w:pPr>
        <w:spacing w:line="560" w:lineRule="exact"/>
        <w:ind w:firstLine="560" w:firstLineChars="200"/>
        <w:rPr>
          <w:rFonts w:hint="eastAsia" w:ascii="仿宋_GB2312" w:hAnsi="宋体" w:eastAsia="仿宋_GB2312" w:cs="Arial"/>
          <w:sz w:val="28"/>
          <w:szCs w:val="28"/>
        </w:rPr>
      </w:pPr>
      <w:r>
        <w:rPr>
          <w:rFonts w:hint="eastAsia" w:ascii="仿宋_GB2312" w:hAnsi="宋体" w:eastAsia="仿宋_GB2312" w:cs="Arial"/>
          <w:sz w:val="28"/>
          <w:szCs w:val="28"/>
        </w:rPr>
        <w:t>2.项目投资规模有所增加。由于洪灾修复、结构加固等额外工程，以及酒店增加顶层宴会厅功能等原因，项目总投资较原计划有所增加，对资金筹措提出了更高要求。</w:t>
      </w:r>
    </w:p>
    <w:p w14:paraId="5066CCE1">
      <w:pPr>
        <w:spacing w:line="560" w:lineRule="exact"/>
        <w:ind w:firstLine="560" w:firstLineChars="200"/>
        <w:rPr>
          <w:rFonts w:hint="eastAsia" w:ascii="仿宋_GB2312" w:hAnsi="宋体" w:eastAsia="仿宋_GB2312" w:cs="Arial"/>
          <w:sz w:val="28"/>
          <w:szCs w:val="28"/>
        </w:rPr>
      </w:pPr>
      <w:r>
        <w:rPr>
          <w:rFonts w:hint="eastAsia" w:ascii="仿宋_GB2312" w:hAnsi="宋体" w:eastAsia="仿宋_GB2312" w:cs="Arial"/>
          <w:sz w:val="28"/>
          <w:szCs w:val="28"/>
        </w:rPr>
        <w:t>3.酒店业态推进相对滞后。受设计方案调整、品牌选择等因素影响，酒店装修改造进度慢于预期，需要在2025年加快推进，确保按期开业。</w:t>
      </w:r>
    </w:p>
    <w:p w14:paraId="12CEB18D">
      <w:pPr>
        <w:spacing w:line="560" w:lineRule="exact"/>
        <w:rPr>
          <w:rFonts w:hint="eastAsia" w:ascii="仿宋_GB2312" w:hAnsi="宋体" w:eastAsia="仿宋_GB2312" w:cs="Arial"/>
          <w:b/>
          <w:bCs/>
          <w:sz w:val="28"/>
          <w:szCs w:val="28"/>
        </w:rPr>
      </w:pPr>
      <w:r>
        <w:rPr>
          <w:rFonts w:hint="eastAsia" w:ascii="仿宋_GB2312" w:hAnsi="宋体" w:eastAsia="仿宋_GB2312" w:cs="Arial"/>
          <w:b/>
          <w:bCs/>
          <w:sz w:val="28"/>
          <w:szCs w:val="28"/>
        </w:rPr>
        <w:t>六、有关建议</w:t>
      </w:r>
    </w:p>
    <w:p w14:paraId="1E7E3196">
      <w:pPr>
        <w:spacing w:line="560" w:lineRule="exact"/>
        <w:ind w:firstLine="560" w:firstLineChars="200"/>
        <w:rPr>
          <w:rFonts w:hint="eastAsia" w:ascii="仿宋_GB2312" w:hAnsi="宋体" w:eastAsia="仿宋_GB2312" w:cs="Arial"/>
          <w:sz w:val="28"/>
          <w:szCs w:val="28"/>
        </w:rPr>
      </w:pPr>
      <w:r>
        <w:rPr>
          <w:rFonts w:hint="eastAsia" w:ascii="仿宋_GB2312" w:hAnsi="宋体" w:eastAsia="仿宋_GB2312" w:cs="Arial"/>
          <w:sz w:val="28"/>
          <w:szCs w:val="28"/>
        </w:rPr>
        <w:t>1.建议加强风险防控体系建设。完善项目风险评估和应急管理机制，提高应对自然灾害等突发事件的能力，确保项目建设和运营的连续性、稳定性。</w:t>
      </w:r>
    </w:p>
    <w:p w14:paraId="6A410648">
      <w:pPr>
        <w:spacing w:line="560" w:lineRule="exact"/>
        <w:ind w:firstLine="560" w:firstLineChars="200"/>
        <w:rPr>
          <w:rFonts w:hint="eastAsia" w:ascii="仿宋_GB2312" w:hAnsi="宋体" w:eastAsia="仿宋_GB2312" w:cs="Arial"/>
          <w:sz w:val="28"/>
          <w:szCs w:val="28"/>
        </w:rPr>
      </w:pPr>
      <w:r>
        <w:rPr>
          <w:rFonts w:hint="eastAsia" w:ascii="仿宋_GB2312" w:hAnsi="宋体" w:eastAsia="仿宋_GB2312" w:cs="Arial"/>
          <w:sz w:val="28"/>
          <w:szCs w:val="28"/>
        </w:rPr>
        <w:t>2.建议优化资金保障机制。鉴于项目投资规模调整和后续建设需要，建议在2025年度继续给予国有资本经营预算资金支持，确保酒店改造顺利完成。</w:t>
      </w:r>
    </w:p>
    <w:p w14:paraId="5B9ADA3C">
      <w:pPr>
        <w:spacing w:line="560" w:lineRule="exact"/>
        <w:ind w:firstLine="560" w:firstLineChars="200"/>
        <w:rPr>
          <w:rFonts w:hint="eastAsia" w:ascii="仿宋_GB2312" w:hAnsi="宋体" w:eastAsia="仿宋_GB2312" w:cs="Arial"/>
          <w:sz w:val="28"/>
          <w:szCs w:val="28"/>
        </w:rPr>
      </w:pPr>
      <w:r>
        <w:rPr>
          <w:rFonts w:hint="eastAsia" w:ascii="仿宋_GB2312" w:hAnsi="宋体" w:eastAsia="仿宋_GB2312" w:cs="Arial"/>
          <w:sz w:val="28"/>
          <w:szCs w:val="28"/>
        </w:rPr>
        <w:t>3.建议深化两区协作机制。充分发挥项目作为西城区与门头沟区结对协作载体的作用，在产业导入、资源共享、品牌推广等方面加强合作，实现更大范围的协同效应。</w:t>
      </w:r>
    </w:p>
    <w:p w14:paraId="5EB32715">
      <w:pPr>
        <w:spacing w:line="560" w:lineRule="exact"/>
        <w:ind w:firstLine="560" w:firstLineChars="200"/>
        <w:rPr>
          <w:rFonts w:hint="eastAsia" w:ascii="仿宋_GB2312" w:hAnsi="宋体" w:eastAsia="仿宋_GB2312" w:cs="Arial"/>
          <w:sz w:val="28"/>
          <w:szCs w:val="28"/>
        </w:rPr>
      </w:pPr>
      <w:r>
        <w:rPr>
          <w:rFonts w:hint="eastAsia" w:ascii="仿宋_GB2312" w:hAnsi="宋体" w:eastAsia="仿宋_GB2312" w:cs="Arial"/>
          <w:sz w:val="28"/>
          <w:szCs w:val="28"/>
        </w:rPr>
        <w:t>4.建议加快酒店项目推进。抓紧完成酒店装修设计深化工作，尽快启动施工招标和工程建设，确保2026年中顺利开业，早日实现项目整体效益。</w:t>
      </w:r>
    </w:p>
    <w:p w14:paraId="769560CC">
      <w:pPr>
        <w:spacing w:line="560" w:lineRule="exact"/>
        <w:ind w:firstLine="560" w:firstLineChars="200"/>
        <w:rPr>
          <w:rFonts w:ascii="仿宋_GB2312" w:hAnsi="宋体" w:eastAsia="仿宋_GB2312" w:cs="Arial"/>
          <w:sz w:val="28"/>
          <w:szCs w:val="28"/>
        </w:rPr>
      </w:pPr>
      <w:r>
        <w:rPr>
          <w:rFonts w:hint="eastAsia" w:ascii="仿宋_GB2312" w:hAnsi="宋体" w:eastAsia="仿宋_GB2312" w:cs="Arial"/>
          <w:sz w:val="28"/>
          <w:szCs w:val="28"/>
        </w:rPr>
        <w:t>5.建议持续提升运营品质。不断优化商业业态组合，提升服务水平，打造特色活动品牌，保持项目的市场竞争力和区域影响力，为门头沟区高质量发展作出更大贡献。</w:t>
      </w:r>
    </w:p>
    <w:p w14:paraId="7258EA33">
      <w:pPr>
        <w:spacing w:line="560" w:lineRule="exact"/>
        <w:ind w:right="382" w:rightChars="182"/>
        <w:jc w:val="both"/>
        <w:rPr>
          <w:rFonts w:hint="eastAsia" w:ascii="仿宋_GB2312" w:hAnsi="宋体" w:eastAsia="仿宋_GB2312" w:cs="宋体"/>
          <w:color w:val="000000"/>
          <w:kern w:val="0"/>
          <w:sz w:val="20"/>
          <w:szCs w:val="21"/>
        </w:rPr>
      </w:pPr>
    </w:p>
    <w:sectPr>
      <w:footerReference r:id="rId5" w:type="first"/>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仿宋_GB2312">
    <w:altName w:val="方正仿宋_GBK"/>
    <w:panose1 w:val="02010609030101010101"/>
    <w:charset w:val="86"/>
    <w:family w:val="modern"/>
    <w:pitch w:val="default"/>
    <w:sig w:usb0="00000000" w:usb1="00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071BC1">
    <w:pPr>
      <w:pStyle w:val="2"/>
      <w:jc w:val="right"/>
      <w:rPr>
        <w:rFonts w:hint="eastAsia"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3</w:t>
    </w:r>
    <w:r>
      <w:rPr>
        <w:rFonts w:ascii="宋体" w:hAnsi="宋体"/>
        <w:sz w:val="28"/>
        <w:szCs w:val="28"/>
      </w:rPr>
      <w:fldChar w:fldCharType="end"/>
    </w:r>
  </w:p>
  <w:p w14:paraId="4DC075C8">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E81198">
    <w:pPr>
      <w:pStyle w:val="2"/>
      <w:rPr>
        <w:rFonts w:hint="eastAsia"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18</w:t>
    </w:r>
    <w:r>
      <w:rPr>
        <w:rFonts w:ascii="宋体" w:hAnsi="宋体"/>
        <w:sz w:val="28"/>
        <w:szCs w:val="28"/>
      </w:rPr>
      <w:fldChar w:fldCharType="end"/>
    </w:r>
  </w:p>
  <w:p w14:paraId="53F7BACD">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A191F0">
    <w:pPr>
      <w:pStyle w:val="2"/>
      <w:jc w:val="center"/>
    </w:pPr>
    <w:r>
      <w:fldChar w:fldCharType="begin"/>
    </w:r>
    <w:r>
      <w:instrText xml:space="preserve">PAGE   \* MERGEFORMAT</w:instrText>
    </w:r>
    <w:r>
      <w:fldChar w:fldCharType="separate"/>
    </w:r>
    <w:r>
      <w:rPr>
        <w:lang w:val="zh-CN"/>
      </w:rPr>
      <w:t>1</w:t>
    </w:r>
    <w:r>
      <w:rPr>
        <w:lang w:val="zh-CN"/>
      </w:rPr>
      <w:fldChar w:fldCharType="end"/>
    </w:r>
  </w:p>
  <w:p w14:paraId="28687017">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4928"/>
    <w:rsid w:val="000002ED"/>
    <w:rsid w:val="0000126F"/>
    <w:rsid w:val="00001663"/>
    <w:rsid w:val="00001D0E"/>
    <w:rsid w:val="00002014"/>
    <w:rsid w:val="0000254F"/>
    <w:rsid w:val="000031E8"/>
    <w:rsid w:val="00003A66"/>
    <w:rsid w:val="000068BA"/>
    <w:rsid w:val="00010A58"/>
    <w:rsid w:val="00012026"/>
    <w:rsid w:val="00012F35"/>
    <w:rsid w:val="00014B6B"/>
    <w:rsid w:val="00014B6D"/>
    <w:rsid w:val="000150FD"/>
    <w:rsid w:val="0001620F"/>
    <w:rsid w:val="000172F5"/>
    <w:rsid w:val="00017E9C"/>
    <w:rsid w:val="000210F6"/>
    <w:rsid w:val="00021114"/>
    <w:rsid w:val="000212F6"/>
    <w:rsid w:val="0002142B"/>
    <w:rsid w:val="00022D7F"/>
    <w:rsid w:val="00023EA3"/>
    <w:rsid w:val="00025D80"/>
    <w:rsid w:val="00025F61"/>
    <w:rsid w:val="00026AEE"/>
    <w:rsid w:val="00026B54"/>
    <w:rsid w:val="00026E17"/>
    <w:rsid w:val="000273DD"/>
    <w:rsid w:val="000279FA"/>
    <w:rsid w:val="00027BCA"/>
    <w:rsid w:val="00030636"/>
    <w:rsid w:val="0003101D"/>
    <w:rsid w:val="00032626"/>
    <w:rsid w:val="00033E36"/>
    <w:rsid w:val="0003572B"/>
    <w:rsid w:val="00037542"/>
    <w:rsid w:val="00037B6F"/>
    <w:rsid w:val="0004024F"/>
    <w:rsid w:val="0004034C"/>
    <w:rsid w:val="00041B19"/>
    <w:rsid w:val="0004256C"/>
    <w:rsid w:val="00042EB3"/>
    <w:rsid w:val="00043925"/>
    <w:rsid w:val="000452BB"/>
    <w:rsid w:val="00051339"/>
    <w:rsid w:val="0005198F"/>
    <w:rsid w:val="00051EE8"/>
    <w:rsid w:val="00054410"/>
    <w:rsid w:val="00054D87"/>
    <w:rsid w:val="000555C9"/>
    <w:rsid w:val="00055994"/>
    <w:rsid w:val="00057285"/>
    <w:rsid w:val="0006024E"/>
    <w:rsid w:val="00061BC4"/>
    <w:rsid w:val="00063447"/>
    <w:rsid w:val="00064E08"/>
    <w:rsid w:val="00065A83"/>
    <w:rsid w:val="0007001B"/>
    <w:rsid w:val="0007031F"/>
    <w:rsid w:val="00070A29"/>
    <w:rsid w:val="00072CA3"/>
    <w:rsid w:val="0007383F"/>
    <w:rsid w:val="00075A2D"/>
    <w:rsid w:val="00077E17"/>
    <w:rsid w:val="00080311"/>
    <w:rsid w:val="00080352"/>
    <w:rsid w:val="00081B5B"/>
    <w:rsid w:val="0008288E"/>
    <w:rsid w:val="00084087"/>
    <w:rsid w:val="00084E5D"/>
    <w:rsid w:val="00085921"/>
    <w:rsid w:val="00085AA1"/>
    <w:rsid w:val="0008798C"/>
    <w:rsid w:val="00087D15"/>
    <w:rsid w:val="00091206"/>
    <w:rsid w:val="00093B96"/>
    <w:rsid w:val="00095A71"/>
    <w:rsid w:val="000974C0"/>
    <w:rsid w:val="000A0263"/>
    <w:rsid w:val="000A0A54"/>
    <w:rsid w:val="000A22E3"/>
    <w:rsid w:val="000A2A8D"/>
    <w:rsid w:val="000A64F0"/>
    <w:rsid w:val="000B030D"/>
    <w:rsid w:val="000B147D"/>
    <w:rsid w:val="000B17CF"/>
    <w:rsid w:val="000B2D0B"/>
    <w:rsid w:val="000B2EA4"/>
    <w:rsid w:val="000B3711"/>
    <w:rsid w:val="000B4769"/>
    <w:rsid w:val="000B5066"/>
    <w:rsid w:val="000B741C"/>
    <w:rsid w:val="000C00A9"/>
    <w:rsid w:val="000C0E21"/>
    <w:rsid w:val="000C395F"/>
    <w:rsid w:val="000C495F"/>
    <w:rsid w:val="000C5E07"/>
    <w:rsid w:val="000D0B2A"/>
    <w:rsid w:val="000D5E4B"/>
    <w:rsid w:val="000D5F73"/>
    <w:rsid w:val="000D66D8"/>
    <w:rsid w:val="000D6D70"/>
    <w:rsid w:val="000D77C9"/>
    <w:rsid w:val="000E04DB"/>
    <w:rsid w:val="000E08C3"/>
    <w:rsid w:val="000E2B56"/>
    <w:rsid w:val="000E2CB7"/>
    <w:rsid w:val="000E3F05"/>
    <w:rsid w:val="000E5FF5"/>
    <w:rsid w:val="000E786D"/>
    <w:rsid w:val="000F1042"/>
    <w:rsid w:val="000F131B"/>
    <w:rsid w:val="000F54DB"/>
    <w:rsid w:val="00101FFE"/>
    <w:rsid w:val="00103A90"/>
    <w:rsid w:val="00104928"/>
    <w:rsid w:val="00104BFC"/>
    <w:rsid w:val="00104CCD"/>
    <w:rsid w:val="00105C64"/>
    <w:rsid w:val="00106556"/>
    <w:rsid w:val="00106AF6"/>
    <w:rsid w:val="00107A8D"/>
    <w:rsid w:val="00107C70"/>
    <w:rsid w:val="001113F4"/>
    <w:rsid w:val="001116D1"/>
    <w:rsid w:val="001123D1"/>
    <w:rsid w:val="00113374"/>
    <w:rsid w:val="00113CEB"/>
    <w:rsid w:val="0011570E"/>
    <w:rsid w:val="00115D5B"/>
    <w:rsid w:val="001166B1"/>
    <w:rsid w:val="001169C1"/>
    <w:rsid w:val="001176E3"/>
    <w:rsid w:val="00117776"/>
    <w:rsid w:val="00120F94"/>
    <w:rsid w:val="00121A22"/>
    <w:rsid w:val="00122704"/>
    <w:rsid w:val="00123CCA"/>
    <w:rsid w:val="00124186"/>
    <w:rsid w:val="001247D1"/>
    <w:rsid w:val="001260AB"/>
    <w:rsid w:val="00126A9B"/>
    <w:rsid w:val="00126DEF"/>
    <w:rsid w:val="00130544"/>
    <w:rsid w:val="0013659E"/>
    <w:rsid w:val="00140808"/>
    <w:rsid w:val="0014153C"/>
    <w:rsid w:val="001415E1"/>
    <w:rsid w:val="001426DD"/>
    <w:rsid w:val="00142745"/>
    <w:rsid w:val="00143431"/>
    <w:rsid w:val="00143432"/>
    <w:rsid w:val="00145C45"/>
    <w:rsid w:val="00150F33"/>
    <w:rsid w:val="00151812"/>
    <w:rsid w:val="0015212C"/>
    <w:rsid w:val="00153674"/>
    <w:rsid w:val="00155144"/>
    <w:rsid w:val="00156CDA"/>
    <w:rsid w:val="00157A26"/>
    <w:rsid w:val="001611FF"/>
    <w:rsid w:val="00167B73"/>
    <w:rsid w:val="00171175"/>
    <w:rsid w:val="00173400"/>
    <w:rsid w:val="00173922"/>
    <w:rsid w:val="00176E93"/>
    <w:rsid w:val="00177803"/>
    <w:rsid w:val="0018057E"/>
    <w:rsid w:val="0018146E"/>
    <w:rsid w:val="00181629"/>
    <w:rsid w:val="00181C33"/>
    <w:rsid w:val="00186309"/>
    <w:rsid w:val="001868F8"/>
    <w:rsid w:val="00186F89"/>
    <w:rsid w:val="00190AC5"/>
    <w:rsid w:val="0019193D"/>
    <w:rsid w:val="00193204"/>
    <w:rsid w:val="00193E9F"/>
    <w:rsid w:val="001950DF"/>
    <w:rsid w:val="00195DCE"/>
    <w:rsid w:val="001969CD"/>
    <w:rsid w:val="0019725A"/>
    <w:rsid w:val="001A15BF"/>
    <w:rsid w:val="001A16FB"/>
    <w:rsid w:val="001A2B6B"/>
    <w:rsid w:val="001A31B7"/>
    <w:rsid w:val="001A32AE"/>
    <w:rsid w:val="001A4945"/>
    <w:rsid w:val="001A59EA"/>
    <w:rsid w:val="001A5FD5"/>
    <w:rsid w:val="001A6114"/>
    <w:rsid w:val="001A6976"/>
    <w:rsid w:val="001B0CAD"/>
    <w:rsid w:val="001B12E0"/>
    <w:rsid w:val="001B1D3A"/>
    <w:rsid w:val="001B2E05"/>
    <w:rsid w:val="001B3024"/>
    <w:rsid w:val="001B3980"/>
    <w:rsid w:val="001B6DF2"/>
    <w:rsid w:val="001C21F0"/>
    <w:rsid w:val="001C37D4"/>
    <w:rsid w:val="001C420C"/>
    <w:rsid w:val="001D0428"/>
    <w:rsid w:val="001D09E1"/>
    <w:rsid w:val="001D1473"/>
    <w:rsid w:val="001D2F1C"/>
    <w:rsid w:val="001D5176"/>
    <w:rsid w:val="001D6204"/>
    <w:rsid w:val="001D665A"/>
    <w:rsid w:val="001D6CFB"/>
    <w:rsid w:val="001D76DF"/>
    <w:rsid w:val="001D7928"/>
    <w:rsid w:val="001E4C81"/>
    <w:rsid w:val="001E4ECF"/>
    <w:rsid w:val="001E5C0D"/>
    <w:rsid w:val="001E75E9"/>
    <w:rsid w:val="001E7C1B"/>
    <w:rsid w:val="001F05C0"/>
    <w:rsid w:val="001F31CB"/>
    <w:rsid w:val="001F5BA3"/>
    <w:rsid w:val="001F5FB5"/>
    <w:rsid w:val="001F672C"/>
    <w:rsid w:val="001F6FC4"/>
    <w:rsid w:val="002025E4"/>
    <w:rsid w:val="002035A1"/>
    <w:rsid w:val="00204158"/>
    <w:rsid w:val="0020514B"/>
    <w:rsid w:val="00205364"/>
    <w:rsid w:val="002054CA"/>
    <w:rsid w:val="00206CDB"/>
    <w:rsid w:val="0021692A"/>
    <w:rsid w:val="00217437"/>
    <w:rsid w:val="0022084B"/>
    <w:rsid w:val="00222ECC"/>
    <w:rsid w:val="002248A2"/>
    <w:rsid w:val="0022592D"/>
    <w:rsid w:val="00227ABF"/>
    <w:rsid w:val="002310B8"/>
    <w:rsid w:val="00234606"/>
    <w:rsid w:val="00234D88"/>
    <w:rsid w:val="002364C6"/>
    <w:rsid w:val="00237372"/>
    <w:rsid w:val="00240D36"/>
    <w:rsid w:val="002429E1"/>
    <w:rsid w:val="002461D1"/>
    <w:rsid w:val="00250622"/>
    <w:rsid w:val="00251BFA"/>
    <w:rsid w:val="00251E9A"/>
    <w:rsid w:val="00251FC5"/>
    <w:rsid w:val="00252A4D"/>
    <w:rsid w:val="0025658E"/>
    <w:rsid w:val="00256D9B"/>
    <w:rsid w:val="00261FD1"/>
    <w:rsid w:val="00262414"/>
    <w:rsid w:val="00263A48"/>
    <w:rsid w:val="00266609"/>
    <w:rsid w:val="00267503"/>
    <w:rsid w:val="00267A31"/>
    <w:rsid w:val="002718BA"/>
    <w:rsid w:val="00271B52"/>
    <w:rsid w:val="00271EB1"/>
    <w:rsid w:val="00272F27"/>
    <w:rsid w:val="00273F1E"/>
    <w:rsid w:val="0027612A"/>
    <w:rsid w:val="00276851"/>
    <w:rsid w:val="00277DCF"/>
    <w:rsid w:val="00282039"/>
    <w:rsid w:val="00284AE2"/>
    <w:rsid w:val="0028694E"/>
    <w:rsid w:val="00286B21"/>
    <w:rsid w:val="002870BE"/>
    <w:rsid w:val="00287203"/>
    <w:rsid w:val="002878F5"/>
    <w:rsid w:val="0029006E"/>
    <w:rsid w:val="00292A2A"/>
    <w:rsid w:val="00294F37"/>
    <w:rsid w:val="002966C9"/>
    <w:rsid w:val="0029688E"/>
    <w:rsid w:val="002A0A31"/>
    <w:rsid w:val="002A0BD3"/>
    <w:rsid w:val="002A4589"/>
    <w:rsid w:val="002A4FFC"/>
    <w:rsid w:val="002A5391"/>
    <w:rsid w:val="002A70E7"/>
    <w:rsid w:val="002B079B"/>
    <w:rsid w:val="002B2F15"/>
    <w:rsid w:val="002B3B4D"/>
    <w:rsid w:val="002B3E0C"/>
    <w:rsid w:val="002B6001"/>
    <w:rsid w:val="002B6CA0"/>
    <w:rsid w:val="002B7265"/>
    <w:rsid w:val="002B7365"/>
    <w:rsid w:val="002C17A2"/>
    <w:rsid w:val="002C1D5D"/>
    <w:rsid w:val="002C330C"/>
    <w:rsid w:val="002C5808"/>
    <w:rsid w:val="002C647E"/>
    <w:rsid w:val="002D0F5E"/>
    <w:rsid w:val="002D29A0"/>
    <w:rsid w:val="002D3138"/>
    <w:rsid w:val="002D4ED6"/>
    <w:rsid w:val="002D54A9"/>
    <w:rsid w:val="002D57D8"/>
    <w:rsid w:val="002D5922"/>
    <w:rsid w:val="002D6258"/>
    <w:rsid w:val="002D6303"/>
    <w:rsid w:val="002D6B4E"/>
    <w:rsid w:val="002D6F9B"/>
    <w:rsid w:val="002E052B"/>
    <w:rsid w:val="002E0816"/>
    <w:rsid w:val="002E15CF"/>
    <w:rsid w:val="002E580B"/>
    <w:rsid w:val="002E7892"/>
    <w:rsid w:val="002E790A"/>
    <w:rsid w:val="002F00D4"/>
    <w:rsid w:val="002F48E4"/>
    <w:rsid w:val="002F5DD8"/>
    <w:rsid w:val="002F6139"/>
    <w:rsid w:val="0030041C"/>
    <w:rsid w:val="00301CB5"/>
    <w:rsid w:val="003024BE"/>
    <w:rsid w:val="00305599"/>
    <w:rsid w:val="003060D0"/>
    <w:rsid w:val="0031050E"/>
    <w:rsid w:val="003116F6"/>
    <w:rsid w:val="00312845"/>
    <w:rsid w:val="0031568C"/>
    <w:rsid w:val="003168CF"/>
    <w:rsid w:val="00320B99"/>
    <w:rsid w:val="003212AE"/>
    <w:rsid w:val="00321523"/>
    <w:rsid w:val="00322659"/>
    <w:rsid w:val="00322820"/>
    <w:rsid w:val="00322B62"/>
    <w:rsid w:val="00322F62"/>
    <w:rsid w:val="003232F5"/>
    <w:rsid w:val="003253B8"/>
    <w:rsid w:val="003301D5"/>
    <w:rsid w:val="003306A7"/>
    <w:rsid w:val="00331969"/>
    <w:rsid w:val="003350EE"/>
    <w:rsid w:val="00337432"/>
    <w:rsid w:val="00337D74"/>
    <w:rsid w:val="00337FE5"/>
    <w:rsid w:val="00340221"/>
    <w:rsid w:val="0034042F"/>
    <w:rsid w:val="00342DED"/>
    <w:rsid w:val="0034305D"/>
    <w:rsid w:val="003439FE"/>
    <w:rsid w:val="00345095"/>
    <w:rsid w:val="003515B9"/>
    <w:rsid w:val="0035417E"/>
    <w:rsid w:val="003559A5"/>
    <w:rsid w:val="00355FD9"/>
    <w:rsid w:val="00357725"/>
    <w:rsid w:val="00357E40"/>
    <w:rsid w:val="0036030E"/>
    <w:rsid w:val="003614D9"/>
    <w:rsid w:val="0036286E"/>
    <w:rsid w:val="00362ACF"/>
    <w:rsid w:val="00364277"/>
    <w:rsid w:val="00365D35"/>
    <w:rsid w:val="00366796"/>
    <w:rsid w:val="00367315"/>
    <w:rsid w:val="0036731A"/>
    <w:rsid w:val="003675AB"/>
    <w:rsid w:val="00370A67"/>
    <w:rsid w:val="003715E9"/>
    <w:rsid w:val="003719FE"/>
    <w:rsid w:val="0037223B"/>
    <w:rsid w:val="003741B2"/>
    <w:rsid w:val="00374B72"/>
    <w:rsid w:val="00376106"/>
    <w:rsid w:val="0037636B"/>
    <w:rsid w:val="003774C5"/>
    <w:rsid w:val="00377550"/>
    <w:rsid w:val="00380517"/>
    <w:rsid w:val="003807A0"/>
    <w:rsid w:val="003844E2"/>
    <w:rsid w:val="003850EB"/>
    <w:rsid w:val="003851CD"/>
    <w:rsid w:val="00385851"/>
    <w:rsid w:val="00385BB5"/>
    <w:rsid w:val="00385BE4"/>
    <w:rsid w:val="00385E1B"/>
    <w:rsid w:val="00386793"/>
    <w:rsid w:val="00387EE4"/>
    <w:rsid w:val="003929F8"/>
    <w:rsid w:val="00393A9D"/>
    <w:rsid w:val="003950EB"/>
    <w:rsid w:val="003951F2"/>
    <w:rsid w:val="00395543"/>
    <w:rsid w:val="00396589"/>
    <w:rsid w:val="003A1695"/>
    <w:rsid w:val="003A29CE"/>
    <w:rsid w:val="003A60D4"/>
    <w:rsid w:val="003A793C"/>
    <w:rsid w:val="003B0263"/>
    <w:rsid w:val="003B0CE3"/>
    <w:rsid w:val="003B0E7C"/>
    <w:rsid w:val="003B107C"/>
    <w:rsid w:val="003B44E7"/>
    <w:rsid w:val="003B4E70"/>
    <w:rsid w:val="003B5C20"/>
    <w:rsid w:val="003B68BA"/>
    <w:rsid w:val="003C0413"/>
    <w:rsid w:val="003C1898"/>
    <w:rsid w:val="003C2908"/>
    <w:rsid w:val="003C4530"/>
    <w:rsid w:val="003C498C"/>
    <w:rsid w:val="003C5FF9"/>
    <w:rsid w:val="003D1F85"/>
    <w:rsid w:val="003D3738"/>
    <w:rsid w:val="003D3A9B"/>
    <w:rsid w:val="003D5999"/>
    <w:rsid w:val="003D66C4"/>
    <w:rsid w:val="003E1946"/>
    <w:rsid w:val="003E1FD2"/>
    <w:rsid w:val="003E28F5"/>
    <w:rsid w:val="003E3597"/>
    <w:rsid w:val="003E381D"/>
    <w:rsid w:val="003E4416"/>
    <w:rsid w:val="003E4880"/>
    <w:rsid w:val="003E61B2"/>
    <w:rsid w:val="003E6FA4"/>
    <w:rsid w:val="003E768A"/>
    <w:rsid w:val="003F024B"/>
    <w:rsid w:val="003F23D1"/>
    <w:rsid w:val="003F317A"/>
    <w:rsid w:val="003F5BF5"/>
    <w:rsid w:val="003F7D0B"/>
    <w:rsid w:val="00404369"/>
    <w:rsid w:val="00406930"/>
    <w:rsid w:val="00406BFC"/>
    <w:rsid w:val="00406CC5"/>
    <w:rsid w:val="0040752B"/>
    <w:rsid w:val="00407FF7"/>
    <w:rsid w:val="00410FB8"/>
    <w:rsid w:val="004138E8"/>
    <w:rsid w:val="004155BB"/>
    <w:rsid w:val="004164E7"/>
    <w:rsid w:val="00416A3D"/>
    <w:rsid w:val="004202C3"/>
    <w:rsid w:val="00420BE0"/>
    <w:rsid w:val="00425424"/>
    <w:rsid w:val="00427E44"/>
    <w:rsid w:val="00431188"/>
    <w:rsid w:val="00432B3A"/>
    <w:rsid w:val="0043334B"/>
    <w:rsid w:val="004349C5"/>
    <w:rsid w:val="00435D50"/>
    <w:rsid w:val="00435F4B"/>
    <w:rsid w:val="004366CD"/>
    <w:rsid w:val="004368F4"/>
    <w:rsid w:val="00437F4D"/>
    <w:rsid w:val="004403E7"/>
    <w:rsid w:val="004404D3"/>
    <w:rsid w:val="00446E6B"/>
    <w:rsid w:val="004528EE"/>
    <w:rsid w:val="0045358F"/>
    <w:rsid w:val="0045362E"/>
    <w:rsid w:val="00454A87"/>
    <w:rsid w:val="004551C8"/>
    <w:rsid w:val="00455A65"/>
    <w:rsid w:val="00456C1D"/>
    <w:rsid w:val="00457030"/>
    <w:rsid w:val="004627F3"/>
    <w:rsid w:val="00462973"/>
    <w:rsid w:val="00462AC3"/>
    <w:rsid w:val="00462C6C"/>
    <w:rsid w:val="004633DC"/>
    <w:rsid w:val="00465E14"/>
    <w:rsid w:val="00467EFD"/>
    <w:rsid w:val="004716FC"/>
    <w:rsid w:val="004735B0"/>
    <w:rsid w:val="00480BCB"/>
    <w:rsid w:val="00480E8A"/>
    <w:rsid w:val="00481CE4"/>
    <w:rsid w:val="00484049"/>
    <w:rsid w:val="00485B8E"/>
    <w:rsid w:val="00485BB1"/>
    <w:rsid w:val="00485C20"/>
    <w:rsid w:val="004867A7"/>
    <w:rsid w:val="0048743B"/>
    <w:rsid w:val="004901A9"/>
    <w:rsid w:val="00490FB6"/>
    <w:rsid w:val="004915A0"/>
    <w:rsid w:val="00491644"/>
    <w:rsid w:val="00491848"/>
    <w:rsid w:val="00494BE7"/>
    <w:rsid w:val="00495626"/>
    <w:rsid w:val="00497048"/>
    <w:rsid w:val="004A088E"/>
    <w:rsid w:val="004A3A6A"/>
    <w:rsid w:val="004A5255"/>
    <w:rsid w:val="004A6093"/>
    <w:rsid w:val="004B207B"/>
    <w:rsid w:val="004B375F"/>
    <w:rsid w:val="004B3768"/>
    <w:rsid w:val="004B3A93"/>
    <w:rsid w:val="004B3D9A"/>
    <w:rsid w:val="004B764D"/>
    <w:rsid w:val="004B7684"/>
    <w:rsid w:val="004B7EFF"/>
    <w:rsid w:val="004C02F9"/>
    <w:rsid w:val="004C2EE5"/>
    <w:rsid w:val="004C415E"/>
    <w:rsid w:val="004C6A12"/>
    <w:rsid w:val="004C7708"/>
    <w:rsid w:val="004C7A01"/>
    <w:rsid w:val="004D02A0"/>
    <w:rsid w:val="004D0598"/>
    <w:rsid w:val="004D16AC"/>
    <w:rsid w:val="004D3EC9"/>
    <w:rsid w:val="004D50E4"/>
    <w:rsid w:val="004D7D52"/>
    <w:rsid w:val="004E007F"/>
    <w:rsid w:val="004E228C"/>
    <w:rsid w:val="004E27CD"/>
    <w:rsid w:val="004E28A4"/>
    <w:rsid w:val="004E4088"/>
    <w:rsid w:val="004E49E2"/>
    <w:rsid w:val="004E5B14"/>
    <w:rsid w:val="004E65C4"/>
    <w:rsid w:val="004E67BE"/>
    <w:rsid w:val="004E7E88"/>
    <w:rsid w:val="004F3E60"/>
    <w:rsid w:val="004F3EAB"/>
    <w:rsid w:val="004F4DA5"/>
    <w:rsid w:val="004F5A28"/>
    <w:rsid w:val="004F688B"/>
    <w:rsid w:val="004F689D"/>
    <w:rsid w:val="004F69B3"/>
    <w:rsid w:val="00500AE9"/>
    <w:rsid w:val="00503403"/>
    <w:rsid w:val="0050393E"/>
    <w:rsid w:val="005048BE"/>
    <w:rsid w:val="00504C95"/>
    <w:rsid w:val="00504EA5"/>
    <w:rsid w:val="00507197"/>
    <w:rsid w:val="0050725E"/>
    <w:rsid w:val="005078D6"/>
    <w:rsid w:val="00507DB6"/>
    <w:rsid w:val="00507F4A"/>
    <w:rsid w:val="00510D99"/>
    <w:rsid w:val="00513D1B"/>
    <w:rsid w:val="005142AA"/>
    <w:rsid w:val="0051626C"/>
    <w:rsid w:val="00522C47"/>
    <w:rsid w:val="00523414"/>
    <w:rsid w:val="005242BA"/>
    <w:rsid w:val="00526A26"/>
    <w:rsid w:val="00527068"/>
    <w:rsid w:val="00527112"/>
    <w:rsid w:val="00527375"/>
    <w:rsid w:val="005276B2"/>
    <w:rsid w:val="005278E0"/>
    <w:rsid w:val="00531726"/>
    <w:rsid w:val="005400B2"/>
    <w:rsid w:val="0054085D"/>
    <w:rsid w:val="0054322A"/>
    <w:rsid w:val="00543DC8"/>
    <w:rsid w:val="00545830"/>
    <w:rsid w:val="0055232B"/>
    <w:rsid w:val="0055383E"/>
    <w:rsid w:val="005538E7"/>
    <w:rsid w:val="005562C3"/>
    <w:rsid w:val="00556F50"/>
    <w:rsid w:val="00557AB6"/>
    <w:rsid w:val="00557EBF"/>
    <w:rsid w:val="00560C92"/>
    <w:rsid w:val="00562A7B"/>
    <w:rsid w:val="00562A8B"/>
    <w:rsid w:val="00566644"/>
    <w:rsid w:val="0056755E"/>
    <w:rsid w:val="0057019F"/>
    <w:rsid w:val="00570893"/>
    <w:rsid w:val="0057360D"/>
    <w:rsid w:val="00574D33"/>
    <w:rsid w:val="00575B77"/>
    <w:rsid w:val="00576A45"/>
    <w:rsid w:val="0057724F"/>
    <w:rsid w:val="00580457"/>
    <w:rsid w:val="00580B29"/>
    <w:rsid w:val="00581195"/>
    <w:rsid w:val="005822F3"/>
    <w:rsid w:val="00590143"/>
    <w:rsid w:val="005932C4"/>
    <w:rsid w:val="0059402A"/>
    <w:rsid w:val="0059526F"/>
    <w:rsid w:val="00597689"/>
    <w:rsid w:val="005A2ABF"/>
    <w:rsid w:val="005A3432"/>
    <w:rsid w:val="005A5693"/>
    <w:rsid w:val="005A5861"/>
    <w:rsid w:val="005A7D91"/>
    <w:rsid w:val="005B15E9"/>
    <w:rsid w:val="005B1EDC"/>
    <w:rsid w:val="005B23B3"/>
    <w:rsid w:val="005B2587"/>
    <w:rsid w:val="005B282E"/>
    <w:rsid w:val="005B2B49"/>
    <w:rsid w:val="005B31F0"/>
    <w:rsid w:val="005B39EA"/>
    <w:rsid w:val="005B4768"/>
    <w:rsid w:val="005B7C66"/>
    <w:rsid w:val="005C28E6"/>
    <w:rsid w:val="005C3F09"/>
    <w:rsid w:val="005C4A93"/>
    <w:rsid w:val="005C6846"/>
    <w:rsid w:val="005C6E09"/>
    <w:rsid w:val="005C73CB"/>
    <w:rsid w:val="005D1273"/>
    <w:rsid w:val="005D1F2C"/>
    <w:rsid w:val="005D6F37"/>
    <w:rsid w:val="005D7F4D"/>
    <w:rsid w:val="005E0744"/>
    <w:rsid w:val="005E25B5"/>
    <w:rsid w:val="005E3787"/>
    <w:rsid w:val="005E4ECF"/>
    <w:rsid w:val="005E5246"/>
    <w:rsid w:val="005E6A5A"/>
    <w:rsid w:val="005F0FEC"/>
    <w:rsid w:val="005F348F"/>
    <w:rsid w:val="005F3FE7"/>
    <w:rsid w:val="005F742B"/>
    <w:rsid w:val="0060351A"/>
    <w:rsid w:val="00603ED5"/>
    <w:rsid w:val="00604EAC"/>
    <w:rsid w:val="00606529"/>
    <w:rsid w:val="00611B0D"/>
    <w:rsid w:val="00612782"/>
    <w:rsid w:val="00613361"/>
    <w:rsid w:val="006178C0"/>
    <w:rsid w:val="00617A4D"/>
    <w:rsid w:val="00620FA5"/>
    <w:rsid w:val="00622B3D"/>
    <w:rsid w:val="00624D8C"/>
    <w:rsid w:val="00625E6B"/>
    <w:rsid w:val="0062668E"/>
    <w:rsid w:val="00627E25"/>
    <w:rsid w:val="00633732"/>
    <w:rsid w:val="00633A82"/>
    <w:rsid w:val="00635DA8"/>
    <w:rsid w:val="0064057D"/>
    <w:rsid w:val="00640ADF"/>
    <w:rsid w:val="00640D40"/>
    <w:rsid w:val="00645603"/>
    <w:rsid w:val="006510A0"/>
    <w:rsid w:val="00652B35"/>
    <w:rsid w:val="006568D4"/>
    <w:rsid w:val="00660CC5"/>
    <w:rsid w:val="00661500"/>
    <w:rsid w:val="00661B9D"/>
    <w:rsid w:val="006621F8"/>
    <w:rsid w:val="00662AD3"/>
    <w:rsid w:val="006630CE"/>
    <w:rsid w:val="0066362E"/>
    <w:rsid w:val="00664E25"/>
    <w:rsid w:val="00664F08"/>
    <w:rsid w:val="006652DD"/>
    <w:rsid w:val="00665C7D"/>
    <w:rsid w:val="00666071"/>
    <w:rsid w:val="006660C8"/>
    <w:rsid w:val="0066625A"/>
    <w:rsid w:val="006703EF"/>
    <w:rsid w:val="00671780"/>
    <w:rsid w:val="006724C7"/>
    <w:rsid w:val="00672968"/>
    <w:rsid w:val="00673AED"/>
    <w:rsid w:val="00675200"/>
    <w:rsid w:val="006758B8"/>
    <w:rsid w:val="006758CE"/>
    <w:rsid w:val="00675923"/>
    <w:rsid w:val="00684A17"/>
    <w:rsid w:val="006914C4"/>
    <w:rsid w:val="00692F38"/>
    <w:rsid w:val="00692F45"/>
    <w:rsid w:val="00693428"/>
    <w:rsid w:val="00694EED"/>
    <w:rsid w:val="006A0033"/>
    <w:rsid w:val="006A02E3"/>
    <w:rsid w:val="006A2B6C"/>
    <w:rsid w:val="006A728E"/>
    <w:rsid w:val="006A72AE"/>
    <w:rsid w:val="006B07D9"/>
    <w:rsid w:val="006B0F0D"/>
    <w:rsid w:val="006B28B6"/>
    <w:rsid w:val="006B32D1"/>
    <w:rsid w:val="006B404E"/>
    <w:rsid w:val="006B52D8"/>
    <w:rsid w:val="006B7D2F"/>
    <w:rsid w:val="006C03C7"/>
    <w:rsid w:val="006C05FF"/>
    <w:rsid w:val="006C0CCA"/>
    <w:rsid w:val="006C11FC"/>
    <w:rsid w:val="006C2112"/>
    <w:rsid w:val="006C4CD2"/>
    <w:rsid w:val="006C670A"/>
    <w:rsid w:val="006D0F4E"/>
    <w:rsid w:val="006D16B4"/>
    <w:rsid w:val="006D4E3C"/>
    <w:rsid w:val="006D5DE8"/>
    <w:rsid w:val="006D7807"/>
    <w:rsid w:val="006E00CE"/>
    <w:rsid w:val="006E07E2"/>
    <w:rsid w:val="006E08FA"/>
    <w:rsid w:val="006E1C3D"/>
    <w:rsid w:val="006E246F"/>
    <w:rsid w:val="006E4F2B"/>
    <w:rsid w:val="006E5832"/>
    <w:rsid w:val="006E5C98"/>
    <w:rsid w:val="006E7017"/>
    <w:rsid w:val="006E7221"/>
    <w:rsid w:val="006E74F4"/>
    <w:rsid w:val="006F2E5B"/>
    <w:rsid w:val="006F3235"/>
    <w:rsid w:val="006F351F"/>
    <w:rsid w:val="006F358A"/>
    <w:rsid w:val="0070228C"/>
    <w:rsid w:val="00702337"/>
    <w:rsid w:val="00702988"/>
    <w:rsid w:val="007037BF"/>
    <w:rsid w:val="00703CAB"/>
    <w:rsid w:val="007048CD"/>
    <w:rsid w:val="00704BE5"/>
    <w:rsid w:val="00705B77"/>
    <w:rsid w:val="00706115"/>
    <w:rsid w:val="007077F8"/>
    <w:rsid w:val="00710C70"/>
    <w:rsid w:val="007161B8"/>
    <w:rsid w:val="007169A5"/>
    <w:rsid w:val="00720A7B"/>
    <w:rsid w:val="00722F60"/>
    <w:rsid w:val="00723403"/>
    <w:rsid w:val="007240AB"/>
    <w:rsid w:val="0072509A"/>
    <w:rsid w:val="007269F5"/>
    <w:rsid w:val="00727848"/>
    <w:rsid w:val="007300C7"/>
    <w:rsid w:val="00731E3A"/>
    <w:rsid w:val="00732FD6"/>
    <w:rsid w:val="00733699"/>
    <w:rsid w:val="00734A88"/>
    <w:rsid w:val="00735FA3"/>
    <w:rsid w:val="007366A8"/>
    <w:rsid w:val="00736EB5"/>
    <w:rsid w:val="00740AE8"/>
    <w:rsid w:val="00741A14"/>
    <w:rsid w:val="00744253"/>
    <w:rsid w:val="007467C5"/>
    <w:rsid w:val="0074774B"/>
    <w:rsid w:val="00750162"/>
    <w:rsid w:val="0075196F"/>
    <w:rsid w:val="00752CCA"/>
    <w:rsid w:val="00753484"/>
    <w:rsid w:val="00754433"/>
    <w:rsid w:val="007549A4"/>
    <w:rsid w:val="00755F04"/>
    <w:rsid w:val="00756188"/>
    <w:rsid w:val="00760EB9"/>
    <w:rsid w:val="00761A47"/>
    <w:rsid w:val="007621BB"/>
    <w:rsid w:val="00762949"/>
    <w:rsid w:val="00763406"/>
    <w:rsid w:val="007636D0"/>
    <w:rsid w:val="00764384"/>
    <w:rsid w:val="007644F9"/>
    <w:rsid w:val="00764577"/>
    <w:rsid w:val="00786464"/>
    <w:rsid w:val="007877A6"/>
    <w:rsid w:val="00791C3B"/>
    <w:rsid w:val="00794E45"/>
    <w:rsid w:val="00795CB1"/>
    <w:rsid w:val="00795F10"/>
    <w:rsid w:val="007A0300"/>
    <w:rsid w:val="007A0A80"/>
    <w:rsid w:val="007A179D"/>
    <w:rsid w:val="007A3E0F"/>
    <w:rsid w:val="007A407C"/>
    <w:rsid w:val="007A6158"/>
    <w:rsid w:val="007A6CDC"/>
    <w:rsid w:val="007A78BF"/>
    <w:rsid w:val="007B008A"/>
    <w:rsid w:val="007B0EB3"/>
    <w:rsid w:val="007B16F2"/>
    <w:rsid w:val="007B18F5"/>
    <w:rsid w:val="007B1A46"/>
    <w:rsid w:val="007B1E05"/>
    <w:rsid w:val="007B2206"/>
    <w:rsid w:val="007B3143"/>
    <w:rsid w:val="007B4DAE"/>
    <w:rsid w:val="007B645A"/>
    <w:rsid w:val="007B701D"/>
    <w:rsid w:val="007B7179"/>
    <w:rsid w:val="007C0D3E"/>
    <w:rsid w:val="007C47CD"/>
    <w:rsid w:val="007C5C2C"/>
    <w:rsid w:val="007C62D3"/>
    <w:rsid w:val="007C68AD"/>
    <w:rsid w:val="007C7F42"/>
    <w:rsid w:val="007D0487"/>
    <w:rsid w:val="007D2A86"/>
    <w:rsid w:val="007D723B"/>
    <w:rsid w:val="007E2036"/>
    <w:rsid w:val="007E32AF"/>
    <w:rsid w:val="007E39AF"/>
    <w:rsid w:val="007E3CCF"/>
    <w:rsid w:val="007E405D"/>
    <w:rsid w:val="007E4583"/>
    <w:rsid w:val="007E52BE"/>
    <w:rsid w:val="007E6A37"/>
    <w:rsid w:val="007E7758"/>
    <w:rsid w:val="007E7B7D"/>
    <w:rsid w:val="007F12B6"/>
    <w:rsid w:val="007F2128"/>
    <w:rsid w:val="007F227C"/>
    <w:rsid w:val="007F278F"/>
    <w:rsid w:val="007F3F79"/>
    <w:rsid w:val="007F51A8"/>
    <w:rsid w:val="007F6910"/>
    <w:rsid w:val="008006E6"/>
    <w:rsid w:val="00800EAF"/>
    <w:rsid w:val="008032D9"/>
    <w:rsid w:val="00803ADE"/>
    <w:rsid w:val="00803C72"/>
    <w:rsid w:val="00804C95"/>
    <w:rsid w:val="00805CC4"/>
    <w:rsid w:val="00806661"/>
    <w:rsid w:val="0080670C"/>
    <w:rsid w:val="008068DE"/>
    <w:rsid w:val="00806A71"/>
    <w:rsid w:val="00807F5D"/>
    <w:rsid w:val="008105D2"/>
    <w:rsid w:val="00810985"/>
    <w:rsid w:val="0081170B"/>
    <w:rsid w:val="008131CE"/>
    <w:rsid w:val="00813EA0"/>
    <w:rsid w:val="00814DAD"/>
    <w:rsid w:val="00820292"/>
    <w:rsid w:val="00820AE8"/>
    <w:rsid w:val="00821DD5"/>
    <w:rsid w:val="00824874"/>
    <w:rsid w:val="00825969"/>
    <w:rsid w:val="00825E3B"/>
    <w:rsid w:val="00826954"/>
    <w:rsid w:val="00827718"/>
    <w:rsid w:val="008279C0"/>
    <w:rsid w:val="00832AB6"/>
    <w:rsid w:val="00833081"/>
    <w:rsid w:val="00833727"/>
    <w:rsid w:val="00833E7C"/>
    <w:rsid w:val="00834C46"/>
    <w:rsid w:val="00836AB6"/>
    <w:rsid w:val="00842E13"/>
    <w:rsid w:val="00843442"/>
    <w:rsid w:val="0084372E"/>
    <w:rsid w:val="00843D65"/>
    <w:rsid w:val="00843E19"/>
    <w:rsid w:val="008446DD"/>
    <w:rsid w:val="00844FB1"/>
    <w:rsid w:val="008474D8"/>
    <w:rsid w:val="008506AB"/>
    <w:rsid w:val="00851FE8"/>
    <w:rsid w:val="00853E04"/>
    <w:rsid w:val="00853EA0"/>
    <w:rsid w:val="00854476"/>
    <w:rsid w:val="00855EAC"/>
    <w:rsid w:val="00857E4C"/>
    <w:rsid w:val="0086003F"/>
    <w:rsid w:val="0087047D"/>
    <w:rsid w:val="00871539"/>
    <w:rsid w:val="00871777"/>
    <w:rsid w:val="00872868"/>
    <w:rsid w:val="00872BB9"/>
    <w:rsid w:val="008740BF"/>
    <w:rsid w:val="0087483D"/>
    <w:rsid w:val="0087563F"/>
    <w:rsid w:val="00875795"/>
    <w:rsid w:val="00876DDC"/>
    <w:rsid w:val="00880B02"/>
    <w:rsid w:val="008815D9"/>
    <w:rsid w:val="00882293"/>
    <w:rsid w:val="00882981"/>
    <w:rsid w:val="00883DB2"/>
    <w:rsid w:val="0088668B"/>
    <w:rsid w:val="00887F7F"/>
    <w:rsid w:val="00890B18"/>
    <w:rsid w:val="00890B3F"/>
    <w:rsid w:val="00890C93"/>
    <w:rsid w:val="0089107B"/>
    <w:rsid w:val="00891687"/>
    <w:rsid w:val="00892C2C"/>
    <w:rsid w:val="00893491"/>
    <w:rsid w:val="00893A95"/>
    <w:rsid w:val="008A05A8"/>
    <w:rsid w:val="008A3487"/>
    <w:rsid w:val="008A39A3"/>
    <w:rsid w:val="008A4DA1"/>
    <w:rsid w:val="008A6C2E"/>
    <w:rsid w:val="008A71A6"/>
    <w:rsid w:val="008A7AD6"/>
    <w:rsid w:val="008A7C85"/>
    <w:rsid w:val="008A7D37"/>
    <w:rsid w:val="008B0CE8"/>
    <w:rsid w:val="008B24DF"/>
    <w:rsid w:val="008B441E"/>
    <w:rsid w:val="008B5A4B"/>
    <w:rsid w:val="008B5D66"/>
    <w:rsid w:val="008C12D0"/>
    <w:rsid w:val="008C1690"/>
    <w:rsid w:val="008C226E"/>
    <w:rsid w:val="008C2C39"/>
    <w:rsid w:val="008C489E"/>
    <w:rsid w:val="008C5218"/>
    <w:rsid w:val="008C6C02"/>
    <w:rsid w:val="008D05C0"/>
    <w:rsid w:val="008D2774"/>
    <w:rsid w:val="008D4CAC"/>
    <w:rsid w:val="008D5410"/>
    <w:rsid w:val="008D59F3"/>
    <w:rsid w:val="008D6A9C"/>
    <w:rsid w:val="008D6AF7"/>
    <w:rsid w:val="008D6C9F"/>
    <w:rsid w:val="008E0390"/>
    <w:rsid w:val="008E0776"/>
    <w:rsid w:val="008E1C29"/>
    <w:rsid w:val="008E1F63"/>
    <w:rsid w:val="008E2DF0"/>
    <w:rsid w:val="008E5D17"/>
    <w:rsid w:val="008E6EBE"/>
    <w:rsid w:val="008F1736"/>
    <w:rsid w:val="008F23A2"/>
    <w:rsid w:val="008F2594"/>
    <w:rsid w:val="008F2D95"/>
    <w:rsid w:val="008F3877"/>
    <w:rsid w:val="008F6949"/>
    <w:rsid w:val="008F6A82"/>
    <w:rsid w:val="009004C3"/>
    <w:rsid w:val="009008FD"/>
    <w:rsid w:val="00900D8A"/>
    <w:rsid w:val="00901638"/>
    <w:rsid w:val="009030A7"/>
    <w:rsid w:val="0090445E"/>
    <w:rsid w:val="00904AB5"/>
    <w:rsid w:val="00906EA3"/>
    <w:rsid w:val="00907D45"/>
    <w:rsid w:val="0091084A"/>
    <w:rsid w:val="00913638"/>
    <w:rsid w:val="00914662"/>
    <w:rsid w:val="009156BC"/>
    <w:rsid w:val="0091652D"/>
    <w:rsid w:val="0091701D"/>
    <w:rsid w:val="00917B68"/>
    <w:rsid w:val="009210C8"/>
    <w:rsid w:val="00923927"/>
    <w:rsid w:val="00923CBC"/>
    <w:rsid w:val="00926EBB"/>
    <w:rsid w:val="00926FBA"/>
    <w:rsid w:val="0092710D"/>
    <w:rsid w:val="00931442"/>
    <w:rsid w:val="0093321F"/>
    <w:rsid w:val="0093495A"/>
    <w:rsid w:val="0093680E"/>
    <w:rsid w:val="00942771"/>
    <w:rsid w:val="00942A7C"/>
    <w:rsid w:val="00943D27"/>
    <w:rsid w:val="009445A5"/>
    <w:rsid w:val="0094568E"/>
    <w:rsid w:val="00946008"/>
    <w:rsid w:val="00946325"/>
    <w:rsid w:val="00946EEE"/>
    <w:rsid w:val="009475DD"/>
    <w:rsid w:val="0095221D"/>
    <w:rsid w:val="009528B4"/>
    <w:rsid w:val="00952E68"/>
    <w:rsid w:val="00953323"/>
    <w:rsid w:val="00954A6B"/>
    <w:rsid w:val="009560D4"/>
    <w:rsid w:val="009577E4"/>
    <w:rsid w:val="00957F65"/>
    <w:rsid w:val="009614E9"/>
    <w:rsid w:val="00961FBF"/>
    <w:rsid w:val="009621C0"/>
    <w:rsid w:val="00965336"/>
    <w:rsid w:val="0097320E"/>
    <w:rsid w:val="00975647"/>
    <w:rsid w:val="00975ABA"/>
    <w:rsid w:val="00976299"/>
    <w:rsid w:val="00976624"/>
    <w:rsid w:val="009771C5"/>
    <w:rsid w:val="009832B5"/>
    <w:rsid w:val="00983854"/>
    <w:rsid w:val="00986E43"/>
    <w:rsid w:val="00987196"/>
    <w:rsid w:val="009900F5"/>
    <w:rsid w:val="00991DBD"/>
    <w:rsid w:val="00992474"/>
    <w:rsid w:val="00993157"/>
    <w:rsid w:val="0099451F"/>
    <w:rsid w:val="00994610"/>
    <w:rsid w:val="009956D7"/>
    <w:rsid w:val="00996972"/>
    <w:rsid w:val="009A2166"/>
    <w:rsid w:val="009A3094"/>
    <w:rsid w:val="009A3752"/>
    <w:rsid w:val="009A3761"/>
    <w:rsid w:val="009A6A15"/>
    <w:rsid w:val="009A7715"/>
    <w:rsid w:val="009B14BC"/>
    <w:rsid w:val="009B2F1C"/>
    <w:rsid w:val="009B3DB9"/>
    <w:rsid w:val="009B44C1"/>
    <w:rsid w:val="009B497A"/>
    <w:rsid w:val="009B5089"/>
    <w:rsid w:val="009B5671"/>
    <w:rsid w:val="009B780E"/>
    <w:rsid w:val="009B7F81"/>
    <w:rsid w:val="009C0A32"/>
    <w:rsid w:val="009C0BB6"/>
    <w:rsid w:val="009C1090"/>
    <w:rsid w:val="009C3762"/>
    <w:rsid w:val="009C55C5"/>
    <w:rsid w:val="009C775D"/>
    <w:rsid w:val="009D0444"/>
    <w:rsid w:val="009D0BD3"/>
    <w:rsid w:val="009D134E"/>
    <w:rsid w:val="009D19EC"/>
    <w:rsid w:val="009D4C38"/>
    <w:rsid w:val="009D5248"/>
    <w:rsid w:val="009D5E69"/>
    <w:rsid w:val="009D62BA"/>
    <w:rsid w:val="009D76ED"/>
    <w:rsid w:val="009E07CE"/>
    <w:rsid w:val="009E173E"/>
    <w:rsid w:val="009E2B35"/>
    <w:rsid w:val="009E2CF0"/>
    <w:rsid w:val="009E370F"/>
    <w:rsid w:val="009E3F2A"/>
    <w:rsid w:val="009E65A5"/>
    <w:rsid w:val="009E7C7B"/>
    <w:rsid w:val="009F23C4"/>
    <w:rsid w:val="009F38A8"/>
    <w:rsid w:val="009F3991"/>
    <w:rsid w:val="009F4D8C"/>
    <w:rsid w:val="009F5C64"/>
    <w:rsid w:val="009F6346"/>
    <w:rsid w:val="009F6897"/>
    <w:rsid w:val="009F7BE7"/>
    <w:rsid w:val="00A0205B"/>
    <w:rsid w:val="00A0231B"/>
    <w:rsid w:val="00A029D8"/>
    <w:rsid w:val="00A02D66"/>
    <w:rsid w:val="00A02F9D"/>
    <w:rsid w:val="00A04E8D"/>
    <w:rsid w:val="00A06B92"/>
    <w:rsid w:val="00A07DB5"/>
    <w:rsid w:val="00A10A78"/>
    <w:rsid w:val="00A1483E"/>
    <w:rsid w:val="00A14CF4"/>
    <w:rsid w:val="00A203AE"/>
    <w:rsid w:val="00A22ABA"/>
    <w:rsid w:val="00A31518"/>
    <w:rsid w:val="00A33B08"/>
    <w:rsid w:val="00A34466"/>
    <w:rsid w:val="00A365E0"/>
    <w:rsid w:val="00A3754D"/>
    <w:rsid w:val="00A37CE0"/>
    <w:rsid w:val="00A40129"/>
    <w:rsid w:val="00A421FC"/>
    <w:rsid w:val="00A42C40"/>
    <w:rsid w:val="00A43DFF"/>
    <w:rsid w:val="00A45E13"/>
    <w:rsid w:val="00A46469"/>
    <w:rsid w:val="00A46E78"/>
    <w:rsid w:val="00A50870"/>
    <w:rsid w:val="00A52570"/>
    <w:rsid w:val="00A529E1"/>
    <w:rsid w:val="00A52EAA"/>
    <w:rsid w:val="00A537D9"/>
    <w:rsid w:val="00A5494E"/>
    <w:rsid w:val="00A5688F"/>
    <w:rsid w:val="00A56A18"/>
    <w:rsid w:val="00A56DCB"/>
    <w:rsid w:val="00A57D63"/>
    <w:rsid w:val="00A603BA"/>
    <w:rsid w:val="00A617BC"/>
    <w:rsid w:val="00A63494"/>
    <w:rsid w:val="00A63C84"/>
    <w:rsid w:val="00A649B7"/>
    <w:rsid w:val="00A64A82"/>
    <w:rsid w:val="00A64B20"/>
    <w:rsid w:val="00A65558"/>
    <w:rsid w:val="00A72976"/>
    <w:rsid w:val="00A72B6A"/>
    <w:rsid w:val="00A73549"/>
    <w:rsid w:val="00A74EE7"/>
    <w:rsid w:val="00A759C6"/>
    <w:rsid w:val="00A8114D"/>
    <w:rsid w:val="00A816F9"/>
    <w:rsid w:val="00A82B88"/>
    <w:rsid w:val="00A86614"/>
    <w:rsid w:val="00A86788"/>
    <w:rsid w:val="00A87737"/>
    <w:rsid w:val="00A904D4"/>
    <w:rsid w:val="00A91A3D"/>
    <w:rsid w:val="00A942C3"/>
    <w:rsid w:val="00A9449A"/>
    <w:rsid w:val="00A956B1"/>
    <w:rsid w:val="00A95CCD"/>
    <w:rsid w:val="00A9762B"/>
    <w:rsid w:val="00AA04E7"/>
    <w:rsid w:val="00AA0797"/>
    <w:rsid w:val="00AA0920"/>
    <w:rsid w:val="00AA1173"/>
    <w:rsid w:val="00AA3CE5"/>
    <w:rsid w:val="00AA4103"/>
    <w:rsid w:val="00AA4CD9"/>
    <w:rsid w:val="00AA5284"/>
    <w:rsid w:val="00AA556E"/>
    <w:rsid w:val="00AA7130"/>
    <w:rsid w:val="00AB119A"/>
    <w:rsid w:val="00AB1B3E"/>
    <w:rsid w:val="00AB458B"/>
    <w:rsid w:val="00AB6080"/>
    <w:rsid w:val="00AB622C"/>
    <w:rsid w:val="00AB6ABE"/>
    <w:rsid w:val="00AB6DCC"/>
    <w:rsid w:val="00AB703C"/>
    <w:rsid w:val="00AB71A0"/>
    <w:rsid w:val="00AB7FDB"/>
    <w:rsid w:val="00AC13EA"/>
    <w:rsid w:val="00AC3639"/>
    <w:rsid w:val="00AC36B0"/>
    <w:rsid w:val="00AC52AD"/>
    <w:rsid w:val="00AC616E"/>
    <w:rsid w:val="00AC7D31"/>
    <w:rsid w:val="00AD031C"/>
    <w:rsid w:val="00AD154C"/>
    <w:rsid w:val="00AD1C14"/>
    <w:rsid w:val="00AD2F79"/>
    <w:rsid w:val="00AD39C4"/>
    <w:rsid w:val="00AD43A4"/>
    <w:rsid w:val="00AD4C6A"/>
    <w:rsid w:val="00AD561E"/>
    <w:rsid w:val="00AD5E3F"/>
    <w:rsid w:val="00AD6C3A"/>
    <w:rsid w:val="00AD7D0D"/>
    <w:rsid w:val="00AE0D7C"/>
    <w:rsid w:val="00AE30BE"/>
    <w:rsid w:val="00AE50C0"/>
    <w:rsid w:val="00AE5C6E"/>
    <w:rsid w:val="00AE62CB"/>
    <w:rsid w:val="00AE75C2"/>
    <w:rsid w:val="00AF02C4"/>
    <w:rsid w:val="00AF1084"/>
    <w:rsid w:val="00AF1754"/>
    <w:rsid w:val="00AF6D1D"/>
    <w:rsid w:val="00B0088F"/>
    <w:rsid w:val="00B01763"/>
    <w:rsid w:val="00B021B1"/>
    <w:rsid w:val="00B02E63"/>
    <w:rsid w:val="00B02F65"/>
    <w:rsid w:val="00B03D90"/>
    <w:rsid w:val="00B03EA7"/>
    <w:rsid w:val="00B041ED"/>
    <w:rsid w:val="00B04485"/>
    <w:rsid w:val="00B049A0"/>
    <w:rsid w:val="00B04A65"/>
    <w:rsid w:val="00B07226"/>
    <w:rsid w:val="00B1096B"/>
    <w:rsid w:val="00B11E7A"/>
    <w:rsid w:val="00B13952"/>
    <w:rsid w:val="00B14279"/>
    <w:rsid w:val="00B14427"/>
    <w:rsid w:val="00B15A75"/>
    <w:rsid w:val="00B16817"/>
    <w:rsid w:val="00B17739"/>
    <w:rsid w:val="00B17BDA"/>
    <w:rsid w:val="00B20D4E"/>
    <w:rsid w:val="00B21584"/>
    <w:rsid w:val="00B21BC0"/>
    <w:rsid w:val="00B2215B"/>
    <w:rsid w:val="00B25966"/>
    <w:rsid w:val="00B26161"/>
    <w:rsid w:val="00B306B8"/>
    <w:rsid w:val="00B32D50"/>
    <w:rsid w:val="00B34870"/>
    <w:rsid w:val="00B34B24"/>
    <w:rsid w:val="00B34E8F"/>
    <w:rsid w:val="00B3575D"/>
    <w:rsid w:val="00B371B4"/>
    <w:rsid w:val="00B41C1A"/>
    <w:rsid w:val="00B41E64"/>
    <w:rsid w:val="00B4338C"/>
    <w:rsid w:val="00B4441A"/>
    <w:rsid w:val="00B44A5B"/>
    <w:rsid w:val="00B45FB4"/>
    <w:rsid w:val="00B4617F"/>
    <w:rsid w:val="00B46252"/>
    <w:rsid w:val="00B46540"/>
    <w:rsid w:val="00B468E9"/>
    <w:rsid w:val="00B46E1F"/>
    <w:rsid w:val="00B47F10"/>
    <w:rsid w:val="00B508B9"/>
    <w:rsid w:val="00B50A00"/>
    <w:rsid w:val="00B51400"/>
    <w:rsid w:val="00B52F29"/>
    <w:rsid w:val="00B5324F"/>
    <w:rsid w:val="00B53AC1"/>
    <w:rsid w:val="00B5460E"/>
    <w:rsid w:val="00B54A13"/>
    <w:rsid w:val="00B55BC4"/>
    <w:rsid w:val="00B57180"/>
    <w:rsid w:val="00B571AD"/>
    <w:rsid w:val="00B573FF"/>
    <w:rsid w:val="00B60042"/>
    <w:rsid w:val="00B60169"/>
    <w:rsid w:val="00B61A38"/>
    <w:rsid w:val="00B63AE3"/>
    <w:rsid w:val="00B63DC7"/>
    <w:rsid w:val="00B657B4"/>
    <w:rsid w:val="00B659FD"/>
    <w:rsid w:val="00B65C25"/>
    <w:rsid w:val="00B701CC"/>
    <w:rsid w:val="00B71D59"/>
    <w:rsid w:val="00B74670"/>
    <w:rsid w:val="00B746CD"/>
    <w:rsid w:val="00B7532B"/>
    <w:rsid w:val="00B76209"/>
    <w:rsid w:val="00B77009"/>
    <w:rsid w:val="00B77A5B"/>
    <w:rsid w:val="00B77C3F"/>
    <w:rsid w:val="00B8009C"/>
    <w:rsid w:val="00B80C44"/>
    <w:rsid w:val="00B80D9E"/>
    <w:rsid w:val="00B81D49"/>
    <w:rsid w:val="00B81DEF"/>
    <w:rsid w:val="00B86F99"/>
    <w:rsid w:val="00B90697"/>
    <w:rsid w:val="00B9146F"/>
    <w:rsid w:val="00B91633"/>
    <w:rsid w:val="00B91B9B"/>
    <w:rsid w:val="00B9333F"/>
    <w:rsid w:val="00B934C1"/>
    <w:rsid w:val="00B94900"/>
    <w:rsid w:val="00B9533E"/>
    <w:rsid w:val="00BA0682"/>
    <w:rsid w:val="00BA3369"/>
    <w:rsid w:val="00BA38B5"/>
    <w:rsid w:val="00BB0659"/>
    <w:rsid w:val="00BB1701"/>
    <w:rsid w:val="00BB1A97"/>
    <w:rsid w:val="00BB26EB"/>
    <w:rsid w:val="00BB2866"/>
    <w:rsid w:val="00BB3478"/>
    <w:rsid w:val="00BB4A62"/>
    <w:rsid w:val="00BB4B1A"/>
    <w:rsid w:val="00BB4EC0"/>
    <w:rsid w:val="00BB6104"/>
    <w:rsid w:val="00BB66B6"/>
    <w:rsid w:val="00BC0230"/>
    <w:rsid w:val="00BC0E3D"/>
    <w:rsid w:val="00BC265F"/>
    <w:rsid w:val="00BC2B79"/>
    <w:rsid w:val="00BC2C38"/>
    <w:rsid w:val="00BC33C9"/>
    <w:rsid w:val="00BC4AFC"/>
    <w:rsid w:val="00BC5A17"/>
    <w:rsid w:val="00BC7133"/>
    <w:rsid w:val="00BC7530"/>
    <w:rsid w:val="00BD0673"/>
    <w:rsid w:val="00BD3961"/>
    <w:rsid w:val="00BD3F8B"/>
    <w:rsid w:val="00BD44FA"/>
    <w:rsid w:val="00BD4BFB"/>
    <w:rsid w:val="00BD7008"/>
    <w:rsid w:val="00BE054F"/>
    <w:rsid w:val="00BE1E63"/>
    <w:rsid w:val="00BE2A09"/>
    <w:rsid w:val="00BE43F5"/>
    <w:rsid w:val="00BE5538"/>
    <w:rsid w:val="00BE6CBA"/>
    <w:rsid w:val="00BE75C4"/>
    <w:rsid w:val="00BF30D4"/>
    <w:rsid w:val="00BF7CD7"/>
    <w:rsid w:val="00C00830"/>
    <w:rsid w:val="00C0413D"/>
    <w:rsid w:val="00C05986"/>
    <w:rsid w:val="00C07514"/>
    <w:rsid w:val="00C07C88"/>
    <w:rsid w:val="00C108CB"/>
    <w:rsid w:val="00C10BB4"/>
    <w:rsid w:val="00C10EB9"/>
    <w:rsid w:val="00C15555"/>
    <w:rsid w:val="00C20798"/>
    <w:rsid w:val="00C2372E"/>
    <w:rsid w:val="00C23FF5"/>
    <w:rsid w:val="00C252F1"/>
    <w:rsid w:val="00C26181"/>
    <w:rsid w:val="00C26554"/>
    <w:rsid w:val="00C32A39"/>
    <w:rsid w:val="00C33C78"/>
    <w:rsid w:val="00C34947"/>
    <w:rsid w:val="00C355DE"/>
    <w:rsid w:val="00C35CD4"/>
    <w:rsid w:val="00C37747"/>
    <w:rsid w:val="00C40A4D"/>
    <w:rsid w:val="00C427D9"/>
    <w:rsid w:val="00C44BE0"/>
    <w:rsid w:val="00C46665"/>
    <w:rsid w:val="00C46E88"/>
    <w:rsid w:val="00C509A3"/>
    <w:rsid w:val="00C50BB1"/>
    <w:rsid w:val="00C50ED1"/>
    <w:rsid w:val="00C51A00"/>
    <w:rsid w:val="00C53B0A"/>
    <w:rsid w:val="00C54B91"/>
    <w:rsid w:val="00C556DC"/>
    <w:rsid w:val="00C57425"/>
    <w:rsid w:val="00C62F6A"/>
    <w:rsid w:val="00C64F23"/>
    <w:rsid w:val="00C66B8F"/>
    <w:rsid w:val="00C66FA4"/>
    <w:rsid w:val="00C67484"/>
    <w:rsid w:val="00C67CD3"/>
    <w:rsid w:val="00C70E3C"/>
    <w:rsid w:val="00C74D80"/>
    <w:rsid w:val="00C766D2"/>
    <w:rsid w:val="00C80C75"/>
    <w:rsid w:val="00C82B2A"/>
    <w:rsid w:val="00C912FC"/>
    <w:rsid w:val="00C92F32"/>
    <w:rsid w:val="00C9308F"/>
    <w:rsid w:val="00C9568D"/>
    <w:rsid w:val="00C95F5D"/>
    <w:rsid w:val="00C96952"/>
    <w:rsid w:val="00C96F0D"/>
    <w:rsid w:val="00C97305"/>
    <w:rsid w:val="00CA0042"/>
    <w:rsid w:val="00CA00B2"/>
    <w:rsid w:val="00CA0706"/>
    <w:rsid w:val="00CA0DB0"/>
    <w:rsid w:val="00CA2081"/>
    <w:rsid w:val="00CA24E0"/>
    <w:rsid w:val="00CA3222"/>
    <w:rsid w:val="00CA3592"/>
    <w:rsid w:val="00CA3B4B"/>
    <w:rsid w:val="00CA40E1"/>
    <w:rsid w:val="00CA592E"/>
    <w:rsid w:val="00CA5D3F"/>
    <w:rsid w:val="00CA6514"/>
    <w:rsid w:val="00CA7101"/>
    <w:rsid w:val="00CB72A5"/>
    <w:rsid w:val="00CC0C23"/>
    <w:rsid w:val="00CC0F6B"/>
    <w:rsid w:val="00CC3C6A"/>
    <w:rsid w:val="00CC5BCB"/>
    <w:rsid w:val="00CC5DF5"/>
    <w:rsid w:val="00CC6D7E"/>
    <w:rsid w:val="00CD11D2"/>
    <w:rsid w:val="00CD134E"/>
    <w:rsid w:val="00CD1889"/>
    <w:rsid w:val="00CD2764"/>
    <w:rsid w:val="00CD310B"/>
    <w:rsid w:val="00CE037A"/>
    <w:rsid w:val="00CE2C6C"/>
    <w:rsid w:val="00CE4E26"/>
    <w:rsid w:val="00CE70D6"/>
    <w:rsid w:val="00CE7D01"/>
    <w:rsid w:val="00CF1B6A"/>
    <w:rsid w:val="00CF2ED0"/>
    <w:rsid w:val="00CF314B"/>
    <w:rsid w:val="00CF5116"/>
    <w:rsid w:val="00D01622"/>
    <w:rsid w:val="00D0503A"/>
    <w:rsid w:val="00D0793F"/>
    <w:rsid w:val="00D10FDF"/>
    <w:rsid w:val="00D14067"/>
    <w:rsid w:val="00D146D7"/>
    <w:rsid w:val="00D14AE8"/>
    <w:rsid w:val="00D14BD7"/>
    <w:rsid w:val="00D1518F"/>
    <w:rsid w:val="00D15D91"/>
    <w:rsid w:val="00D16733"/>
    <w:rsid w:val="00D17B9A"/>
    <w:rsid w:val="00D17F2A"/>
    <w:rsid w:val="00D20F14"/>
    <w:rsid w:val="00D21B8D"/>
    <w:rsid w:val="00D222AF"/>
    <w:rsid w:val="00D2269F"/>
    <w:rsid w:val="00D22A57"/>
    <w:rsid w:val="00D24DE2"/>
    <w:rsid w:val="00D25098"/>
    <w:rsid w:val="00D273E6"/>
    <w:rsid w:val="00D27479"/>
    <w:rsid w:val="00D31343"/>
    <w:rsid w:val="00D34766"/>
    <w:rsid w:val="00D34C17"/>
    <w:rsid w:val="00D36398"/>
    <w:rsid w:val="00D36757"/>
    <w:rsid w:val="00D37869"/>
    <w:rsid w:val="00D40268"/>
    <w:rsid w:val="00D41B0F"/>
    <w:rsid w:val="00D4257D"/>
    <w:rsid w:val="00D42753"/>
    <w:rsid w:val="00D42F07"/>
    <w:rsid w:val="00D436E3"/>
    <w:rsid w:val="00D43768"/>
    <w:rsid w:val="00D44015"/>
    <w:rsid w:val="00D44085"/>
    <w:rsid w:val="00D44270"/>
    <w:rsid w:val="00D45BC2"/>
    <w:rsid w:val="00D50D69"/>
    <w:rsid w:val="00D50D85"/>
    <w:rsid w:val="00D52412"/>
    <w:rsid w:val="00D52CC4"/>
    <w:rsid w:val="00D52F6B"/>
    <w:rsid w:val="00D54499"/>
    <w:rsid w:val="00D54649"/>
    <w:rsid w:val="00D5503E"/>
    <w:rsid w:val="00D56F05"/>
    <w:rsid w:val="00D57D45"/>
    <w:rsid w:val="00D623A7"/>
    <w:rsid w:val="00D63710"/>
    <w:rsid w:val="00D63A27"/>
    <w:rsid w:val="00D659C0"/>
    <w:rsid w:val="00D6654B"/>
    <w:rsid w:val="00D67774"/>
    <w:rsid w:val="00D67DCC"/>
    <w:rsid w:val="00D67E39"/>
    <w:rsid w:val="00D724B8"/>
    <w:rsid w:val="00D74461"/>
    <w:rsid w:val="00D74852"/>
    <w:rsid w:val="00D77076"/>
    <w:rsid w:val="00D82C2E"/>
    <w:rsid w:val="00D85CC6"/>
    <w:rsid w:val="00D85F1C"/>
    <w:rsid w:val="00D86A06"/>
    <w:rsid w:val="00D900B2"/>
    <w:rsid w:val="00D930C9"/>
    <w:rsid w:val="00D952A6"/>
    <w:rsid w:val="00D95630"/>
    <w:rsid w:val="00D95656"/>
    <w:rsid w:val="00D95B53"/>
    <w:rsid w:val="00D97DAC"/>
    <w:rsid w:val="00DA0A49"/>
    <w:rsid w:val="00DA1160"/>
    <w:rsid w:val="00DA1B98"/>
    <w:rsid w:val="00DA2728"/>
    <w:rsid w:val="00DA2D62"/>
    <w:rsid w:val="00DA33A7"/>
    <w:rsid w:val="00DA78CA"/>
    <w:rsid w:val="00DB11F1"/>
    <w:rsid w:val="00DB272D"/>
    <w:rsid w:val="00DB29FC"/>
    <w:rsid w:val="00DB2F65"/>
    <w:rsid w:val="00DB32AD"/>
    <w:rsid w:val="00DB382E"/>
    <w:rsid w:val="00DB426B"/>
    <w:rsid w:val="00DB5134"/>
    <w:rsid w:val="00DB5645"/>
    <w:rsid w:val="00DB6DC9"/>
    <w:rsid w:val="00DC0341"/>
    <w:rsid w:val="00DC11B9"/>
    <w:rsid w:val="00DC26FE"/>
    <w:rsid w:val="00DC3161"/>
    <w:rsid w:val="00DD126C"/>
    <w:rsid w:val="00DD1499"/>
    <w:rsid w:val="00DD1E1E"/>
    <w:rsid w:val="00DD27C7"/>
    <w:rsid w:val="00DD2CEF"/>
    <w:rsid w:val="00DD4E20"/>
    <w:rsid w:val="00DD7209"/>
    <w:rsid w:val="00DE2AB7"/>
    <w:rsid w:val="00DE2D44"/>
    <w:rsid w:val="00DE330B"/>
    <w:rsid w:val="00DE3803"/>
    <w:rsid w:val="00DE5874"/>
    <w:rsid w:val="00DE6427"/>
    <w:rsid w:val="00DE7441"/>
    <w:rsid w:val="00DF0BE6"/>
    <w:rsid w:val="00DF0CEB"/>
    <w:rsid w:val="00DF0EDF"/>
    <w:rsid w:val="00DF583F"/>
    <w:rsid w:val="00E01965"/>
    <w:rsid w:val="00E039FC"/>
    <w:rsid w:val="00E050D6"/>
    <w:rsid w:val="00E05737"/>
    <w:rsid w:val="00E05C75"/>
    <w:rsid w:val="00E0629B"/>
    <w:rsid w:val="00E06E00"/>
    <w:rsid w:val="00E0750F"/>
    <w:rsid w:val="00E11490"/>
    <w:rsid w:val="00E14710"/>
    <w:rsid w:val="00E14AD7"/>
    <w:rsid w:val="00E14C47"/>
    <w:rsid w:val="00E15007"/>
    <w:rsid w:val="00E16183"/>
    <w:rsid w:val="00E16265"/>
    <w:rsid w:val="00E17672"/>
    <w:rsid w:val="00E240FE"/>
    <w:rsid w:val="00E266C7"/>
    <w:rsid w:val="00E27DDB"/>
    <w:rsid w:val="00E30F0E"/>
    <w:rsid w:val="00E320F4"/>
    <w:rsid w:val="00E338FC"/>
    <w:rsid w:val="00E33C0C"/>
    <w:rsid w:val="00E34297"/>
    <w:rsid w:val="00E363F8"/>
    <w:rsid w:val="00E36FFA"/>
    <w:rsid w:val="00E4146D"/>
    <w:rsid w:val="00E44694"/>
    <w:rsid w:val="00E46ACB"/>
    <w:rsid w:val="00E54B00"/>
    <w:rsid w:val="00E5609C"/>
    <w:rsid w:val="00E60A68"/>
    <w:rsid w:val="00E60F72"/>
    <w:rsid w:val="00E61391"/>
    <w:rsid w:val="00E62A45"/>
    <w:rsid w:val="00E649C6"/>
    <w:rsid w:val="00E6566F"/>
    <w:rsid w:val="00E66666"/>
    <w:rsid w:val="00E66DCD"/>
    <w:rsid w:val="00E70966"/>
    <w:rsid w:val="00E70DE1"/>
    <w:rsid w:val="00E719C4"/>
    <w:rsid w:val="00E735CA"/>
    <w:rsid w:val="00E744FD"/>
    <w:rsid w:val="00E74E14"/>
    <w:rsid w:val="00E755AF"/>
    <w:rsid w:val="00E75B64"/>
    <w:rsid w:val="00E7683A"/>
    <w:rsid w:val="00E76A7F"/>
    <w:rsid w:val="00E7729B"/>
    <w:rsid w:val="00E83B84"/>
    <w:rsid w:val="00E83D36"/>
    <w:rsid w:val="00E84A78"/>
    <w:rsid w:val="00E86304"/>
    <w:rsid w:val="00E86890"/>
    <w:rsid w:val="00E87039"/>
    <w:rsid w:val="00E876DB"/>
    <w:rsid w:val="00E907A6"/>
    <w:rsid w:val="00E90BEE"/>
    <w:rsid w:val="00E90C92"/>
    <w:rsid w:val="00E91984"/>
    <w:rsid w:val="00E92585"/>
    <w:rsid w:val="00E93700"/>
    <w:rsid w:val="00E93BB7"/>
    <w:rsid w:val="00E945E7"/>
    <w:rsid w:val="00E96FA3"/>
    <w:rsid w:val="00EA0087"/>
    <w:rsid w:val="00EA1862"/>
    <w:rsid w:val="00EA3817"/>
    <w:rsid w:val="00EA600A"/>
    <w:rsid w:val="00EA61A3"/>
    <w:rsid w:val="00EA63BB"/>
    <w:rsid w:val="00EA709C"/>
    <w:rsid w:val="00EA7B54"/>
    <w:rsid w:val="00EB090F"/>
    <w:rsid w:val="00EB09E5"/>
    <w:rsid w:val="00EB0A65"/>
    <w:rsid w:val="00EB0A66"/>
    <w:rsid w:val="00EB0C35"/>
    <w:rsid w:val="00EB1627"/>
    <w:rsid w:val="00EB23FF"/>
    <w:rsid w:val="00EB2DA7"/>
    <w:rsid w:val="00EB3FB5"/>
    <w:rsid w:val="00EB6D28"/>
    <w:rsid w:val="00EB7968"/>
    <w:rsid w:val="00EC0E65"/>
    <w:rsid w:val="00EC1AE9"/>
    <w:rsid w:val="00EC387D"/>
    <w:rsid w:val="00EC3C39"/>
    <w:rsid w:val="00EC4558"/>
    <w:rsid w:val="00EC467F"/>
    <w:rsid w:val="00EC4C01"/>
    <w:rsid w:val="00EC5DF3"/>
    <w:rsid w:val="00EC74CE"/>
    <w:rsid w:val="00EC78A8"/>
    <w:rsid w:val="00ED082D"/>
    <w:rsid w:val="00ED18C1"/>
    <w:rsid w:val="00ED30FC"/>
    <w:rsid w:val="00ED6A63"/>
    <w:rsid w:val="00ED75CE"/>
    <w:rsid w:val="00ED7D81"/>
    <w:rsid w:val="00EE0FA5"/>
    <w:rsid w:val="00EE127B"/>
    <w:rsid w:val="00EE1698"/>
    <w:rsid w:val="00EE1758"/>
    <w:rsid w:val="00EE4F1E"/>
    <w:rsid w:val="00EE5DC0"/>
    <w:rsid w:val="00EF1FF8"/>
    <w:rsid w:val="00EF24F1"/>
    <w:rsid w:val="00EF2E64"/>
    <w:rsid w:val="00EF35B3"/>
    <w:rsid w:val="00EF54F6"/>
    <w:rsid w:val="00EF6D72"/>
    <w:rsid w:val="00EF6FDE"/>
    <w:rsid w:val="00EF733A"/>
    <w:rsid w:val="00F00BF0"/>
    <w:rsid w:val="00F01C57"/>
    <w:rsid w:val="00F022FD"/>
    <w:rsid w:val="00F02910"/>
    <w:rsid w:val="00F05961"/>
    <w:rsid w:val="00F05F6B"/>
    <w:rsid w:val="00F06F4C"/>
    <w:rsid w:val="00F07FC7"/>
    <w:rsid w:val="00F10172"/>
    <w:rsid w:val="00F11895"/>
    <w:rsid w:val="00F12C89"/>
    <w:rsid w:val="00F13ABF"/>
    <w:rsid w:val="00F13C5A"/>
    <w:rsid w:val="00F15440"/>
    <w:rsid w:val="00F17427"/>
    <w:rsid w:val="00F17C7C"/>
    <w:rsid w:val="00F20A9D"/>
    <w:rsid w:val="00F21057"/>
    <w:rsid w:val="00F217D7"/>
    <w:rsid w:val="00F21AAD"/>
    <w:rsid w:val="00F21B0E"/>
    <w:rsid w:val="00F22AEF"/>
    <w:rsid w:val="00F2361A"/>
    <w:rsid w:val="00F2468A"/>
    <w:rsid w:val="00F248FE"/>
    <w:rsid w:val="00F24FBF"/>
    <w:rsid w:val="00F306A0"/>
    <w:rsid w:val="00F31964"/>
    <w:rsid w:val="00F36F8B"/>
    <w:rsid w:val="00F374B3"/>
    <w:rsid w:val="00F406D6"/>
    <w:rsid w:val="00F40E9C"/>
    <w:rsid w:val="00F4374C"/>
    <w:rsid w:val="00F43869"/>
    <w:rsid w:val="00F43B15"/>
    <w:rsid w:val="00F447BE"/>
    <w:rsid w:val="00F46943"/>
    <w:rsid w:val="00F46EB8"/>
    <w:rsid w:val="00F4705D"/>
    <w:rsid w:val="00F47977"/>
    <w:rsid w:val="00F47A77"/>
    <w:rsid w:val="00F55054"/>
    <w:rsid w:val="00F55B38"/>
    <w:rsid w:val="00F56CC2"/>
    <w:rsid w:val="00F57328"/>
    <w:rsid w:val="00F57782"/>
    <w:rsid w:val="00F608CB"/>
    <w:rsid w:val="00F60DB4"/>
    <w:rsid w:val="00F619EC"/>
    <w:rsid w:val="00F65337"/>
    <w:rsid w:val="00F65EA9"/>
    <w:rsid w:val="00F661D9"/>
    <w:rsid w:val="00F672C9"/>
    <w:rsid w:val="00F6797F"/>
    <w:rsid w:val="00F70A72"/>
    <w:rsid w:val="00F71282"/>
    <w:rsid w:val="00F72578"/>
    <w:rsid w:val="00F7269D"/>
    <w:rsid w:val="00F72DCC"/>
    <w:rsid w:val="00F730B6"/>
    <w:rsid w:val="00F73DBA"/>
    <w:rsid w:val="00F73DFB"/>
    <w:rsid w:val="00F758B9"/>
    <w:rsid w:val="00F767EB"/>
    <w:rsid w:val="00F768B6"/>
    <w:rsid w:val="00F82CA1"/>
    <w:rsid w:val="00F83CEB"/>
    <w:rsid w:val="00F86805"/>
    <w:rsid w:val="00F870A9"/>
    <w:rsid w:val="00F91931"/>
    <w:rsid w:val="00F919BF"/>
    <w:rsid w:val="00F91EDB"/>
    <w:rsid w:val="00F92CE5"/>
    <w:rsid w:val="00F93033"/>
    <w:rsid w:val="00F94441"/>
    <w:rsid w:val="00F96C17"/>
    <w:rsid w:val="00F96C85"/>
    <w:rsid w:val="00FA0C22"/>
    <w:rsid w:val="00FA0F18"/>
    <w:rsid w:val="00FA3B2E"/>
    <w:rsid w:val="00FA44F4"/>
    <w:rsid w:val="00FA7370"/>
    <w:rsid w:val="00FA7900"/>
    <w:rsid w:val="00FB037F"/>
    <w:rsid w:val="00FB1285"/>
    <w:rsid w:val="00FB1FD6"/>
    <w:rsid w:val="00FB2099"/>
    <w:rsid w:val="00FB30D2"/>
    <w:rsid w:val="00FB6558"/>
    <w:rsid w:val="00FC0B57"/>
    <w:rsid w:val="00FC0DD8"/>
    <w:rsid w:val="00FC1D85"/>
    <w:rsid w:val="00FC4979"/>
    <w:rsid w:val="00FC5A66"/>
    <w:rsid w:val="00FC7BAE"/>
    <w:rsid w:val="00FD15CC"/>
    <w:rsid w:val="00FD2A6C"/>
    <w:rsid w:val="00FD3F06"/>
    <w:rsid w:val="00FD560E"/>
    <w:rsid w:val="00FD5CDA"/>
    <w:rsid w:val="00FD60B0"/>
    <w:rsid w:val="00FD6998"/>
    <w:rsid w:val="00FD70DC"/>
    <w:rsid w:val="00FE0243"/>
    <w:rsid w:val="00FE1123"/>
    <w:rsid w:val="00FE4048"/>
    <w:rsid w:val="00FE4094"/>
    <w:rsid w:val="00FE4942"/>
    <w:rsid w:val="00FE6424"/>
    <w:rsid w:val="00FE6430"/>
    <w:rsid w:val="00FF1B37"/>
    <w:rsid w:val="00FF2D5F"/>
    <w:rsid w:val="00FF4423"/>
    <w:rsid w:val="00FF57EF"/>
    <w:rsid w:val="00FF629E"/>
    <w:rsid w:val="00FF71B5"/>
    <w:rsid w:val="2C200EA4"/>
    <w:rsid w:val="2EEFC315"/>
    <w:rsid w:val="579C1F64"/>
    <w:rsid w:val="61E124D6"/>
    <w:rsid w:val="BFFFEE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4226</Words>
  <Characters>4414</Characters>
  <Lines>32</Lines>
  <Paragraphs>9</Paragraphs>
  <TotalTime>11</TotalTime>
  <ScaleCrop>false</ScaleCrop>
  <LinksUpToDate>false</LinksUpToDate>
  <CharactersWithSpaces>4471</CharactersWithSpaces>
  <Application>WPS Office_12.8.2.1119_F1E327BC-269C-435d-A152-05C5408002CA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2022-02-08T23:11:00Z</dcterms:created>
  <dc:creator>王雅婧</dc:creator>
  <cp:lastModifiedBy>admin</cp:lastModifiedBy>
  <dcterms:modified xsi:type="dcterms:W3CDTF">2025-08-28T17:43:01Z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eyJoZGlkIjoiZDNhYjcwYmU1YzE4ZDVmMDY3MzVmNjQwZWJhNmYxNjUiLCJ1c2VySWQiOiIxNjQwNzk3NjI1In0=</vt:lpwstr>
  </property>
  <property fmtid="{D5CDD505-2E9C-101B-9397-08002B2CF9AE}" pid="3" name="KSOProductBuildVer">
    <vt:lpwstr>2052-12.8.2.1119</vt:lpwstr>
  </property>
  <property fmtid="{D5CDD505-2E9C-101B-9397-08002B2CF9AE}" pid="4" name="ICV">
    <vt:lpwstr>F35744417A1F403286474CCAEB7B23AF_12</vt:lpwstr>
  </property>
</Properties>
</file>