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DEDB5E">
      <w:pPr>
        <w:jc w:val="center"/>
        <w:rPr>
          <w:rFonts w:ascii="仿宋_GB2312" w:eastAsia="仿宋_GB2312"/>
          <w:b/>
          <w:sz w:val="32"/>
          <w:szCs w:val="32"/>
        </w:rPr>
      </w:pPr>
    </w:p>
    <w:p w14:paraId="31D4A926">
      <w:pPr>
        <w:jc w:val="center"/>
        <w:rPr>
          <w:rFonts w:ascii="黑体" w:eastAsia="黑体"/>
          <w:sz w:val="72"/>
          <w:szCs w:val="72"/>
        </w:rPr>
      </w:pPr>
    </w:p>
    <w:p w14:paraId="3DCF45B7">
      <w:pPr>
        <w:jc w:val="both"/>
        <w:rPr>
          <w:rFonts w:ascii="黑体" w:eastAsia="黑体"/>
          <w:sz w:val="72"/>
          <w:szCs w:val="72"/>
        </w:rPr>
      </w:pPr>
    </w:p>
    <w:p w14:paraId="1536CE3C">
      <w:pPr>
        <w:jc w:val="center"/>
        <w:rPr>
          <w:rFonts w:hint="eastAsia" w:ascii="黑体" w:eastAsia="黑体"/>
          <w:sz w:val="72"/>
          <w:szCs w:val="72"/>
          <w:lang w:eastAsia="zh-CN"/>
        </w:rPr>
      </w:pPr>
      <w:bookmarkStart w:id="0" w:name="_GoBack"/>
      <w:r>
        <w:rPr>
          <w:rFonts w:hint="eastAsia" w:ascii="黑体" w:eastAsia="黑体"/>
          <w:sz w:val="72"/>
          <w:szCs w:val="72"/>
        </w:rPr>
        <w:t>202</w:t>
      </w:r>
      <w:r>
        <w:rPr>
          <w:rFonts w:hint="eastAsia" w:ascii="黑体" w:eastAsia="黑体"/>
          <w:sz w:val="72"/>
          <w:szCs w:val="72"/>
          <w:lang w:val="en-US" w:eastAsia="zh-CN"/>
        </w:rPr>
        <w:t>4</w:t>
      </w:r>
      <w:r>
        <w:rPr>
          <w:rFonts w:hint="eastAsia" w:ascii="黑体" w:eastAsia="黑体"/>
          <w:sz w:val="72"/>
          <w:szCs w:val="72"/>
        </w:rPr>
        <w:t>年度北京市西城区</w:t>
      </w:r>
      <w:r>
        <w:rPr>
          <w:rFonts w:hint="eastAsia" w:ascii="黑体" w:eastAsia="黑体"/>
          <w:sz w:val="72"/>
          <w:szCs w:val="72"/>
          <w:lang w:eastAsia="zh-CN"/>
        </w:rPr>
        <w:t>国资委</w:t>
      </w:r>
    </w:p>
    <w:p w14:paraId="259482CB">
      <w:pPr>
        <w:jc w:val="center"/>
        <w:rPr>
          <w:rFonts w:ascii="黑体" w:eastAsia="黑体"/>
          <w:sz w:val="52"/>
          <w:szCs w:val="52"/>
        </w:rPr>
      </w:pPr>
      <w:r>
        <w:rPr>
          <w:rFonts w:hint="eastAsia" w:ascii="黑体" w:eastAsia="黑体"/>
          <w:sz w:val="72"/>
          <w:szCs w:val="72"/>
          <w:lang w:eastAsia="zh-CN"/>
        </w:rPr>
        <w:t>国有资本经营</w:t>
      </w:r>
      <w:r>
        <w:rPr>
          <w:rFonts w:hint="eastAsia" w:ascii="黑体" w:eastAsia="黑体"/>
          <w:sz w:val="72"/>
          <w:szCs w:val="72"/>
        </w:rPr>
        <w:t>决算</w:t>
      </w:r>
      <w:r>
        <w:rPr>
          <w:rFonts w:hint="eastAsia" w:ascii="黑体" w:eastAsia="黑体"/>
          <w:sz w:val="72"/>
          <w:szCs w:val="72"/>
          <w:highlight w:val="none"/>
          <w:lang w:eastAsia="zh-CN"/>
        </w:rPr>
        <w:t>信息公开</w:t>
      </w:r>
      <w:bookmarkEnd w:id="0"/>
    </w:p>
    <w:p w14:paraId="430C763A">
      <w:pPr>
        <w:jc w:val="center"/>
        <w:rPr>
          <w:rFonts w:ascii="黑体" w:eastAsia="黑体"/>
          <w:sz w:val="52"/>
          <w:szCs w:val="52"/>
        </w:rPr>
      </w:pPr>
    </w:p>
    <w:p w14:paraId="05861B6B">
      <w:pPr>
        <w:jc w:val="center"/>
        <w:rPr>
          <w:rFonts w:ascii="黑体" w:eastAsia="黑体"/>
          <w:sz w:val="52"/>
          <w:szCs w:val="52"/>
        </w:rPr>
      </w:pPr>
    </w:p>
    <w:p w14:paraId="397513B5">
      <w:pPr>
        <w:jc w:val="center"/>
        <w:rPr>
          <w:rFonts w:ascii="黑体" w:eastAsia="黑体"/>
          <w:sz w:val="52"/>
          <w:szCs w:val="52"/>
        </w:rPr>
      </w:pPr>
    </w:p>
    <w:p w14:paraId="205D1A8E">
      <w:pPr>
        <w:jc w:val="center"/>
        <w:rPr>
          <w:rFonts w:ascii="黑体" w:eastAsia="黑体"/>
          <w:sz w:val="32"/>
          <w:szCs w:val="32"/>
        </w:rPr>
      </w:pPr>
    </w:p>
    <w:p w14:paraId="0DF68272">
      <w:pPr>
        <w:spacing w:line="500" w:lineRule="exact"/>
        <w:ind w:firstLine="645"/>
        <w:jc w:val="center"/>
        <w:rPr>
          <w:rFonts w:hint="eastAsia" w:ascii="宋体" w:hAnsi="宋体" w:cs="宋体"/>
          <w:b/>
          <w:bCs/>
          <w:kern w:val="0"/>
          <w:sz w:val="44"/>
          <w:szCs w:val="36"/>
        </w:rPr>
      </w:pPr>
    </w:p>
    <w:p w14:paraId="5B190C5B">
      <w:pPr>
        <w:spacing w:line="500" w:lineRule="exact"/>
        <w:ind w:firstLine="645"/>
        <w:jc w:val="center"/>
        <w:rPr>
          <w:rFonts w:ascii="宋体" w:hAnsi="宋体" w:cs="宋体"/>
          <w:b/>
          <w:bCs/>
          <w:kern w:val="0"/>
          <w:sz w:val="44"/>
          <w:szCs w:val="36"/>
        </w:rPr>
      </w:pPr>
      <w:r>
        <w:rPr>
          <w:rFonts w:hint="eastAsia" w:ascii="宋体" w:hAnsi="宋体" w:cs="宋体"/>
          <w:b/>
          <w:bCs/>
          <w:kern w:val="0"/>
          <w:sz w:val="44"/>
          <w:szCs w:val="36"/>
        </w:rPr>
        <w:t>目    录</w:t>
      </w:r>
    </w:p>
    <w:p w14:paraId="5D420F1B">
      <w:pPr>
        <w:spacing w:line="500" w:lineRule="exact"/>
        <w:ind w:firstLine="645"/>
        <w:jc w:val="center"/>
        <w:rPr>
          <w:rFonts w:hint="eastAsia" w:ascii="宋体" w:hAnsi="宋体" w:cs="宋体"/>
          <w:b/>
          <w:bCs/>
          <w:kern w:val="0"/>
          <w:sz w:val="36"/>
          <w:szCs w:val="36"/>
        </w:rPr>
      </w:pPr>
    </w:p>
    <w:p w14:paraId="579915E1">
      <w:pPr>
        <w:tabs>
          <w:tab w:val="center" w:pos="6979"/>
        </w:tabs>
        <w:spacing w:line="500" w:lineRule="exact"/>
        <w:ind w:firstLine="1600" w:firstLineChars="400"/>
        <w:jc w:val="left"/>
        <w:rPr>
          <w:rFonts w:hint="eastAsia" w:ascii="宋体" w:hAnsi="宋体" w:cs="宋体"/>
          <w:bCs/>
          <w:spacing w:val="40"/>
          <w:kern w:val="0"/>
          <w:sz w:val="32"/>
          <w:szCs w:val="32"/>
        </w:rPr>
      </w:pPr>
      <w:r>
        <w:rPr>
          <w:rFonts w:hint="eastAsia" w:ascii="宋体" w:hAnsi="宋体" w:cs="宋体"/>
          <w:bCs/>
          <w:spacing w:val="40"/>
          <w:kern w:val="0"/>
          <w:sz w:val="32"/>
          <w:szCs w:val="32"/>
        </w:rPr>
        <w:t>第一部分 202</w:t>
      </w:r>
      <w:r>
        <w:rPr>
          <w:rFonts w:hint="eastAsia" w:ascii="宋体" w:hAnsi="宋体" w:cs="宋体"/>
          <w:bCs/>
          <w:spacing w:val="40"/>
          <w:kern w:val="0"/>
          <w:sz w:val="32"/>
          <w:szCs w:val="32"/>
          <w:lang w:val="en-US" w:eastAsia="zh-CN"/>
        </w:rPr>
        <w:t>4</w:t>
      </w:r>
      <w:r>
        <w:rPr>
          <w:rFonts w:hint="eastAsia" w:ascii="宋体" w:hAnsi="宋体" w:cs="宋体"/>
          <w:bCs/>
          <w:spacing w:val="40"/>
          <w:kern w:val="0"/>
          <w:sz w:val="32"/>
          <w:szCs w:val="32"/>
        </w:rPr>
        <w:t>年度部门决算报表</w:t>
      </w:r>
    </w:p>
    <w:p w14:paraId="44ED592B">
      <w:pPr>
        <w:tabs>
          <w:tab w:val="center" w:pos="6979"/>
        </w:tabs>
        <w:spacing w:line="500" w:lineRule="exact"/>
        <w:ind w:firstLine="2400" w:firstLineChars="600"/>
        <w:jc w:val="left"/>
        <w:rPr>
          <w:rFonts w:hint="eastAsia" w:ascii="仿宋_GB2312" w:hAnsi="仿宋" w:eastAsia="仿宋_GB2312"/>
          <w:spacing w:val="40"/>
          <w:sz w:val="32"/>
          <w:szCs w:val="32"/>
        </w:rPr>
      </w:pPr>
      <w:r>
        <w:rPr>
          <w:rFonts w:hint="eastAsia" w:ascii="仿宋_GB2312" w:hAnsi="仿宋" w:eastAsia="仿宋_GB2312" w:cs="宋体"/>
          <w:bCs/>
          <w:spacing w:val="40"/>
          <w:kern w:val="0"/>
          <w:sz w:val="32"/>
          <w:szCs w:val="32"/>
        </w:rPr>
        <w:t>一、收入支出决算总表</w:t>
      </w:r>
    </w:p>
    <w:p w14:paraId="2CACC041">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二、收入决算表</w:t>
      </w:r>
    </w:p>
    <w:p w14:paraId="3C70A823">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三、支出决算表</w:t>
      </w:r>
    </w:p>
    <w:p w14:paraId="57CC8372">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四、财政拨款收入支出决算总表</w:t>
      </w:r>
    </w:p>
    <w:p w14:paraId="14FB90C2">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五、一般公共预算财政拨款支出决算表</w:t>
      </w:r>
    </w:p>
    <w:p w14:paraId="604FFADD">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六、一般公共预算财政拨款</w:t>
      </w:r>
      <w:r>
        <w:rPr>
          <w:rFonts w:ascii="仿宋_GB2312" w:hAnsi="仿宋" w:eastAsia="仿宋_GB2312" w:cs="宋体"/>
          <w:bCs/>
          <w:spacing w:val="40"/>
          <w:kern w:val="0"/>
          <w:sz w:val="32"/>
          <w:szCs w:val="32"/>
        </w:rPr>
        <w:t>基本支出决算表</w:t>
      </w:r>
    </w:p>
    <w:p w14:paraId="549FE5F0">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lang w:eastAsia="zh-CN"/>
        </w:rPr>
        <w:t>七</w:t>
      </w:r>
      <w:r>
        <w:rPr>
          <w:rFonts w:ascii="仿宋_GB2312" w:hAnsi="仿宋" w:eastAsia="仿宋_GB2312" w:cs="宋体"/>
          <w:bCs/>
          <w:spacing w:val="40"/>
          <w:kern w:val="0"/>
          <w:sz w:val="32"/>
          <w:szCs w:val="32"/>
        </w:rPr>
        <w:t>、</w:t>
      </w:r>
      <w:r>
        <w:rPr>
          <w:rFonts w:hint="eastAsia" w:ascii="仿宋_GB2312" w:hAnsi="仿宋" w:eastAsia="仿宋_GB2312" w:cs="宋体"/>
          <w:bCs/>
          <w:spacing w:val="40"/>
          <w:kern w:val="0"/>
          <w:sz w:val="32"/>
          <w:szCs w:val="32"/>
        </w:rPr>
        <w:t>政府性基金预算财政拨款收入支出决算表</w:t>
      </w:r>
    </w:p>
    <w:p w14:paraId="5347FCD3">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lang w:eastAsia="zh-CN"/>
        </w:rPr>
        <w:t>八</w:t>
      </w:r>
      <w:r>
        <w:rPr>
          <w:rFonts w:hint="eastAsia" w:ascii="仿宋_GB2312" w:hAnsi="仿宋" w:eastAsia="仿宋_GB2312" w:cs="宋体"/>
          <w:bCs/>
          <w:spacing w:val="40"/>
          <w:kern w:val="0"/>
          <w:sz w:val="32"/>
          <w:szCs w:val="32"/>
        </w:rPr>
        <w:t>、</w:t>
      </w:r>
      <w:r>
        <w:rPr>
          <w:rFonts w:ascii="仿宋_GB2312" w:hAnsi="仿宋" w:eastAsia="仿宋_GB2312" w:cs="宋体"/>
          <w:bCs/>
          <w:spacing w:val="40"/>
          <w:kern w:val="0"/>
          <w:sz w:val="32"/>
          <w:szCs w:val="32"/>
        </w:rPr>
        <w:t>政府性基金</w:t>
      </w:r>
      <w:r>
        <w:rPr>
          <w:rFonts w:hint="eastAsia" w:ascii="仿宋_GB2312" w:hAnsi="仿宋" w:eastAsia="仿宋_GB2312" w:cs="宋体"/>
          <w:bCs/>
          <w:spacing w:val="40"/>
          <w:kern w:val="0"/>
          <w:sz w:val="32"/>
          <w:szCs w:val="32"/>
        </w:rPr>
        <w:t>预算</w:t>
      </w:r>
      <w:r>
        <w:rPr>
          <w:rFonts w:ascii="仿宋_GB2312" w:hAnsi="仿宋" w:eastAsia="仿宋_GB2312" w:cs="宋体"/>
          <w:bCs/>
          <w:spacing w:val="40"/>
          <w:kern w:val="0"/>
          <w:sz w:val="32"/>
          <w:szCs w:val="32"/>
        </w:rPr>
        <w:t>财政拨款基本支出决算表</w:t>
      </w:r>
    </w:p>
    <w:p w14:paraId="1678A21B">
      <w:pPr>
        <w:tabs>
          <w:tab w:val="center" w:pos="6979"/>
        </w:tabs>
        <w:spacing w:line="500" w:lineRule="exact"/>
        <w:ind w:firstLine="2400" w:firstLineChars="600"/>
        <w:jc w:val="left"/>
        <w:rPr>
          <w:rFonts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lang w:eastAsia="zh-CN"/>
        </w:rPr>
        <w:t>九</w:t>
      </w:r>
      <w:r>
        <w:rPr>
          <w:rFonts w:hint="eastAsia" w:ascii="仿宋_GB2312" w:hAnsi="仿宋" w:eastAsia="仿宋_GB2312" w:cs="宋体"/>
          <w:bCs/>
          <w:spacing w:val="40"/>
          <w:kern w:val="0"/>
          <w:sz w:val="32"/>
          <w:szCs w:val="32"/>
        </w:rPr>
        <w:t>、国有资本经营预算财政拨款支出决算表</w:t>
      </w:r>
    </w:p>
    <w:p w14:paraId="0674BBE8">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十、财政拨款“三公”经费支出决算表</w:t>
      </w:r>
    </w:p>
    <w:p w14:paraId="42311A71">
      <w:pPr>
        <w:tabs>
          <w:tab w:val="center" w:pos="6979"/>
        </w:tabs>
        <w:spacing w:line="500" w:lineRule="exact"/>
        <w:ind w:firstLine="2400" w:firstLineChars="600"/>
        <w:jc w:val="left"/>
        <w:rPr>
          <w:rFonts w:hint="eastAsia" w:ascii="仿宋_GB2312" w:hAnsi="仿宋" w:eastAsia="仿宋_GB2312" w:cs="宋体"/>
          <w:bCs/>
          <w:spacing w:val="40"/>
          <w:kern w:val="0"/>
          <w:sz w:val="32"/>
          <w:szCs w:val="32"/>
          <w:lang w:eastAsia="zh-CN"/>
        </w:rPr>
      </w:pPr>
      <w:r>
        <w:rPr>
          <w:rFonts w:hint="eastAsia" w:ascii="仿宋_GB2312" w:hAnsi="仿宋" w:eastAsia="仿宋_GB2312" w:cs="宋体"/>
          <w:bCs/>
          <w:spacing w:val="40"/>
          <w:kern w:val="0"/>
          <w:sz w:val="32"/>
          <w:szCs w:val="32"/>
        </w:rPr>
        <w:t>十一、政府采购情况表</w:t>
      </w:r>
      <w:r>
        <w:rPr>
          <w:rFonts w:hint="eastAsia" w:ascii="仿宋_GB2312" w:hAnsi="仿宋" w:eastAsia="仿宋_GB2312" w:cs="宋体"/>
          <w:bCs/>
          <w:spacing w:val="40"/>
          <w:kern w:val="0"/>
          <w:sz w:val="32"/>
          <w:szCs w:val="32"/>
          <w:lang w:eastAsia="zh-CN"/>
        </w:rPr>
        <w:t>（不涉及）</w:t>
      </w:r>
    </w:p>
    <w:p w14:paraId="0B8B1E85">
      <w:pPr>
        <w:tabs>
          <w:tab w:val="center" w:pos="6979"/>
        </w:tabs>
        <w:spacing w:line="500" w:lineRule="exact"/>
        <w:ind w:firstLine="2400" w:firstLineChars="600"/>
        <w:jc w:val="left"/>
        <w:rPr>
          <w:rFonts w:hint="eastAsia" w:ascii="仿宋_GB2312" w:hAnsi="仿宋" w:eastAsia="仿宋_GB2312" w:cs="宋体"/>
          <w:bCs/>
          <w:spacing w:val="40"/>
          <w:kern w:val="0"/>
          <w:sz w:val="32"/>
          <w:szCs w:val="32"/>
        </w:rPr>
      </w:pPr>
      <w:r>
        <w:rPr>
          <w:rFonts w:hint="eastAsia" w:ascii="仿宋_GB2312" w:hAnsi="仿宋" w:eastAsia="仿宋_GB2312" w:cs="宋体"/>
          <w:bCs/>
          <w:spacing w:val="40"/>
          <w:kern w:val="0"/>
          <w:sz w:val="32"/>
          <w:szCs w:val="32"/>
        </w:rPr>
        <w:t>十</w:t>
      </w:r>
      <w:r>
        <w:rPr>
          <w:rFonts w:hint="eastAsia" w:ascii="仿宋_GB2312" w:hAnsi="仿宋" w:eastAsia="仿宋_GB2312" w:cs="宋体"/>
          <w:bCs/>
          <w:spacing w:val="40"/>
          <w:kern w:val="0"/>
          <w:sz w:val="32"/>
          <w:szCs w:val="32"/>
          <w:lang w:eastAsia="zh-CN"/>
        </w:rPr>
        <w:t>二</w:t>
      </w:r>
      <w:r>
        <w:rPr>
          <w:rFonts w:hint="eastAsia" w:ascii="仿宋_GB2312" w:hAnsi="仿宋" w:eastAsia="仿宋_GB2312" w:cs="宋体"/>
          <w:bCs/>
          <w:spacing w:val="40"/>
          <w:kern w:val="0"/>
          <w:sz w:val="32"/>
          <w:szCs w:val="32"/>
        </w:rPr>
        <w:t>、政府购买服务决算公开情况表</w:t>
      </w:r>
      <w:r>
        <w:rPr>
          <w:rFonts w:hint="eastAsia" w:ascii="仿宋_GB2312" w:hAnsi="仿宋" w:eastAsia="仿宋_GB2312" w:cs="宋体"/>
          <w:bCs/>
          <w:spacing w:val="40"/>
          <w:kern w:val="0"/>
          <w:sz w:val="32"/>
          <w:szCs w:val="32"/>
          <w:lang w:eastAsia="zh-CN"/>
        </w:rPr>
        <w:t>（不涉及）</w:t>
      </w:r>
    </w:p>
    <w:p w14:paraId="3C80CD40">
      <w:pPr>
        <w:tabs>
          <w:tab w:val="center" w:pos="6979"/>
        </w:tabs>
        <w:spacing w:line="500" w:lineRule="exact"/>
        <w:ind w:firstLine="1600" w:firstLineChars="400"/>
        <w:jc w:val="left"/>
        <w:rPr>
          <w:rFonts w:hint="eastAsia" w:ascii="宋体" w:hAnsi="宋体" w:cs="宋体"/>
          <w:bCs/>
          <w:spacing w:val="40"/>
          <w:kern w:val="0"/>
          <w:sz w:val="32"/>
          <w:szCs w:val="32"/>
        </w:rPr>
      </w:pPr>
      <w:r>
        <w:rPr>
          <w:rFonts w:hint="eastAsia" w:ascii="宋体" w:hAnsi="宋体" w:cs="宋体"/>
          <w:bCs/>
          <w:spacing w:val="40"/>
          <w:kern w:val="0"/>
          <w:sz w:val="32"/>
          <w:szCs w:val="32"/>
        </w:rPr>
        <w:t xml:space="preserve">第二部分 </w:t>
      </w:r>
      <w:r>
        <w:rPr>
          <w:rFonts w:hint="eastAsia" w:ascii="宋体" w:hAnsi="宋体"/>
          <w:spacing w:val="40"/>
          <w:sz w:val="32"/>
          <w:szCs w:val="32"/>
        </w:rPr>
        <w:t>202</w:t>
      </w:r>
      <w:r>
        <w:rPr>
          <w:rFonts w:hint="eastAsia" w:ascii="宋体" w:hAnsi="宋体"/>
          <w:spacing w:val="40"/>
          <w:sz w:val="32"/>
          <w:szCs w:val="32"/>
          <w:lang w:val="en-US" w:eastAsia="zh-CN"/>
        </w:rPr>
        <w:t>4</w:t>
      </w:r>
      <w:r>
        <w:rPr>
          <w:rFonts w:hint="eastAsia" w:ascii="宋体" w:hAnsi="宋体"/>
          <w:spacing w:val="40"/>
          <w:sz w:val="32"/>
          <w:szCs w:val="32"/>
        </w:rPr>
        <w:t>年度部门决算说明</w:t>
      </w:r>
    </w:p>
    <w:p w14:paraId="3F9E70B1">
      <w:pPr>
        <w:tabs>
          <w:tab w:val="center" w:pos="6979"/>
        </w:tabs>
        <w:spacing w:line="500" w:lineRule="exact"/>
        <w:ind w:firstLine="1600" w:firstLineChars="400"/>
        <w:jc w:val="left"/>
        <w:rPr>
          <w:rFonts w:hint="eastAsia" w:ascii="宋体" w:hAnsi="宋体" w:cs="宋体"/>
          <w:spacing w:val="40"/>
          <w:kern w:val="0"/>
          <w:sz w:val="32"/>
          <w:szCs w:val="32"/>
        </w:rPr>
      </w:pPr>
      <w:r>
        <w:rPr>
          <w:rFonts w:hint="eastAsia" w:ascii="宋体" w:hAnsi="宋体" w:cs="宋体"/>
          <w:bCs/>
          <w:spacing w:val="40"/>
          <w:kern w:val="0"/>
          <w:sz w:val="32"/>
          <w:szCs w:val="32"/>
        </w:rPr>
        <w:t xml:space="preserve">第三部分 </w:t>
      </w:r>
      <w:r>
        <w:rPr>
          <w:rFonts w:hint="eastAsia" w:ascii="宋体" w:hAnsi="宋体"/>
          <w:spacing w:val="40"/>
          <w:sz w:val="32"/>
          <w:szCs w:val="32"/>
        </w:rPr>
        <w:t>202</w:t>
      </w:r>
      <w:r>
        <w:rPr>
          <w:rFonts w:hint="eastAsia" w:ascii="宋体" w:hAnsi="宋体"/>
          <w:spacing w:val="40"/>
          <w:sz w:val="32"/>
          <w:szCs w:val="32"/>
          <w:lang w:val="en-US" w:eastAsia="zh-CN"/>
        </w:rPr>
        <w:t>4</w:t>
      </w:r>
      <w:r>
        <w:rPr>
          <w:rFonts w:hint="eastAsia" w:ascii="宋体" w:hAnsi="宋体"/>
          <w:spacing w:val="40"/>
          <w:sz w:val="32"/>
          <w:szCs w:val="32"/>
        </w:rPr>
        <w:t>年度</w:t>
      </w:r>
      <w:r>
        <w:rPr>
          <w:rFonts w:hint="eastAsia" w:ascii="宋体" w:hAnsi="宋体" w:cs="宋体"/>
          <w:spacing w:val="40"/>
          <w:kern w:val="0"/>
          <w:sz w:val="32"/>
          <w:szCs w:val="32"/>
        </w:rPr>
        <w:t>其他重要事项的情况说明</w:t>
      </w:r>
    </w:p>
    <w:p w14:paraId="65FFF66E">
      <w:pPr>
        <w:tabs>
          <w:tab w:val="center" w:pos="6979"/>
        </w:tabs>
        <w:spacing w:line="500" w:lineRule="exact"/>
        <w:ind w:firstLine="1600" w:firstLineChars="400"/>
        <w:jc w:val="left"/>
        <w:rPr>
          <w:rFonts w:ascii="宋体" w:hAnsi="宋体" w:cs="宋体"/>
          <w:b/>
          <w:bCs/>
          <w:spacing w:val="40"/>
          <w:kern w:val="0"/>
          <w:sz w:val="32"/>
          <w:szCs w:val="32"/>
        </w:rPr>
      </w:pPr>
      <w:r>
        <w:rPr>
          <w:rFonts w:hint="eastAsia" w:ascii="宋体" w:hAnsi="宋体" w:cs="宋体"/>
          <w:spacing w:val="40"/>
          <w:kern w:val="0"/>
          <w:sz w:val="32"/>
          <w:szCs w:val="32"/>
        </w:rPr>
        <w:t>第四部分 202</w:t>
      </w:r>
      <w:r>
        <w:rPr>
          <w:rFonts w:hint="eastAsia" w:ascii="宋体" w:hAnsi="宋体" w:cs="宋体"/>
          <w:spacing w:val="40"/>
          <w:kern w:val="0"/>
          <w:sz w:val="32"/>
          <w:szCs w:val="32"/>
          <w:lang w:val="en-US" w:eastAsia="zh-CN"/>
        </w:rPr>
        <w:t>4</w:t>
      </w:r>
      <w:r>
        <w:rPr>
          <w:rFonts w:hint="eastAsia" w:ascii="宋体" w:hAnsi="宋体" w:cs="宋体"/>
          <w:spacing w:val="40"/>
          <w:kern w:val="0"/>
          <w:sz w:val="32"/>
          <w:szCs w:val="32"/>
        </w:rPr>
        <w:t>年度部门绩效评价情况</w:t>
      </w:r>
    </w:p>
    <w:p w14:paraId="25DE64CF">
      <w:pPr>
        <w:tabs>
          <w:tab w:val="center" w:pos="6979"/>
        </w:tabs>
        <w:spacing w:before="156" w:beforeLines="50" w:after="156" w:afterLines="50"/>
        <w:jc w:val="both"/>
        <w:rPr>
          <w:rFonts w:hint="eastAsia" w:ascii="宋体" w:hAnsi="宋体" w:cs="宋体"/>
          <w:b/>
          <w:bCs/>
          <w:spacing w:val="40"/>
          <w:kern w:val="0"/>
          <w:sz w:val="44"/>
          <w:szCs w:val="44"/>
        </w:rPr>
      </w:pPr>
    </w:p>
    <w:p w14:paraId="5EB7834A">
      <w:pPr>
        <w:tabs>
          <w:tab w:val="center" w:pos="6979"/>
        </w:tabs>
        <w:spacing w:before="156" w:beforeLines="50" w:after="156" w:afterLines="50"/>
        <w:jc w:val="center"/>
        <w:rPr>
          <w:rFonts w:hint="eastAsia" w:ascii="宋体" w:hAnsi="宋体" w:cs="宋体"/>
          <w:b/>
          <w:bCs/>
          <w:spacing w:val="40"/>
          <w:kern w:val="0"/>
          <w:sz w:val="44"/>
          <w:szCs w:val="44"/>
        </w:rPr>
      </w:pPr>
    </w:p>
    <w:p w14:paraId="5B7A059A">
      <w:pPr>
        <w:tabs>
          <w:tab w:val="center" w:pos="6979"/>
        </w:tabs>
        <w:spacing w:before="156" w:beforeLines="50" w:after="156" w:afterLines="50"/>
        <w:jc w:val="center"/>
        <w:rPr>
          <w:rFonts w:hint="eastAsia" w:ascii="宋体" w:hAnsi="宋体" w:cs="宋体"/>
          <w:b/>
          <w:bCs/>
          <w:spacing w:val="40"/>
          <w:kern w:val="0"/>
          <w:sz w:val="44"/>
          <w:szCs w:val="44"/>
        </w:rPr>
      </w:pPr>
    </w:p>
    <w:p w14:paraId="0BDEE8F0">
      <w:pPr>
        <w:pStyle w:val="2"/>
        <w:rPr>
          <w:rFonts w:hint="eastAsia"/>
        </w:rPr>
      </w:pPr>
    </w:p>
    <w:p w14:paraId="67EAEBA3">
      <w:pPr>
        <w:tabs>
          <w:tab w:val="center" w:pos="6979"/>
        </w:tabs>
        <w:spacing w:before="156" w:beforeLines="50" w:after="156" w:afterLines="50"/>
        <w:jc w:val="center"/>
        <w:rPr>
          <w:rFonts w:ascii="宋体" w:hAnsi="宋体" w:cs="宋体"/>
          <w:b/>
          <w:bCs/>
          <w:spacing w:val="40"/>
          <w:kern w:val="0"/>
          <w:sz w:val="32"/>
          <w:szCs w:val="32"/>
        </w:rPr>
      </w:pPr>
      <w:r>
        <w:rPr>
          <w:rFonts w:hint="eastAsia" w:ascii="宋体" w:hAnsi="宋体" w:cs="宋体"/>
          <w:b/>
          <w:bCs/>
          <w:spacing w:val="40"/>
          <w:kern w:val="0"/>
          <w:sz w:val="44"/>
          <w:szCs w:val="44"/>
        </w:rPr>
        <w:t xml:space="preserve">第一部分 </w:t>
      </w:r>
      <w:r>
        <w:rPr>
          <w:rFonts w:hint="eastAsia" w:ascii="宋体" w:hAnsi="宋体" w:cs="宋体"/>
          <w:b/>
          <w:bCs/>
          <w:spacing w:val="40"/>
          <w:kern w:val="0"/>
          <w:sz w:val="44"/>
          <w:szCs w:val="44"/>
          <w:lang w:eastAsia="zh-CN"/>
        </w:rPr>
        <w:t>2024</w:t>
      </w:r>
      <w:r>
        <w:rPr>
          <w:rFonts w:hint="eastAsia" w:ascii="宋体" w:hAnsi="宋体" w:cs="宋体"/>
          <w:b/>
          <w:bCs/>
          <w:spacing w:val="40"/>
          <w:kern w:val="0"/>
          <w:sz w:val="44"/>
          <w:szCs w:val="44"/>
        </w:rPr>
        <w:t>年度部门决算报表</w:t>
      </w:r>
    </w:p>
    <w:p w14:paraId="6990B348">
      <w:pPr>
        <w:pStyle w:val="3"/>
      </w:pPr>
      <w:r>
        <w:rPr>
          <w:rFonts w:hint="eastAsia" w:ascii="仿宋_GB2312" w:eastAsia="仿宋_GB2312"/>
          <w:sz w:val="28"/>
          <w:szCs w:val="28"/>
        </w:rPr>
        <w:t xml:space="preserve">   </w:t>
      </w:r>
      <w:r>
        <w:drawing>
          <wp:inline distT="0" distB="0" distL="114300" distR="114300">
            <wp:extent cx="8658860" cy="6474460"/>
            <wp:effectExtent l="0" t="0" r="12700" b="254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8658860" cy="6474460"/>
                    </a:xfrm>
                    <a:prstGeom prst="rect">
                      <a:avLst/>
                    </a:prstGeom>
                    <a:noFill/>
                    <a:ln>
                      <a:noFill/>
                    </a:ln>
                  </pic:spPr>
                </pic:pic>
              </a:graphicData>
            </a:graphic>
          </wp:inline>
        </w:drawing>
      </w:r>
    </w:p>
    <w:p w14:paraId="49D86C65">
      <w:r>
        <w:drawing>
          <wp:inline distT="0" distB="0" distL="114300" distR="114300">
            <wp:extent cx="8952865" cy="2633345"/>
            <wp:effectExtent l="0" t="0" r="8255" b="317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8952865" cy="2633345"/>
                    </a:xfrm>
                    <a:prstGeom prst="rect">
                      <a:avLst/>
                    </a:prstGeom>
                    <a:noFill/>
                    <a:ln>
                      <a:noFill/>
                    </a:ln>
                  </pic:spPr>
                </pic:pic>
              </a:graphicData>
            </a:graphic>
          </wp:inline>
        </w:drawing>
      </w:r>
    </w:p>
    <w:p w14:paraId="67578174">
      <w:pPr>
        <w:pStyle w:val="3"/>
      </w:pPr>
    </w:p>
    <w:p w14:paraId="17554001">
      <w:r>
        <w:drawing>
          <wp:inline distT="0" distB="0" distL="114300" distR="114300">
            <wp:extent cx="9121140" cy="2865120"/>
            <wp:effectExtent l="0" t="0" r="762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9"/>
                    <a:stretch>
                      <a:fillRect/>
                    </a:stretch>
                  </pic:blipFill>
                  <pic:spPr>
                    <a:xfrm>
                      <a:off x="0" y="0"/>
                      <a:ext cx="9121140" cy="2865120"/>
                    </a:xfrm>
                    <a:prstGeom prst="rect">
                      <a:avLst/>
                    </a:prstGeom>
                    <a:noFill/>
                    <a:ln>
                      <a:noFill/>
                    </a:ln>
                  </pic:spPr>
                </pic:pic>
              </a:graphicData>
            </a:graphic>
          </wp:inline>
        </w:drawing>
      </w:r>
    </w:p>
    <w:p w14:paraId="1EE0C36C">
      <w:pPr>
        <w:pStyle w:val="3"/>
      </w:pPr>
    </w:p>
    <w:p w14:paraId="04DE97AC"/>
    <w:p w14:paraId="104F5A0D">
      <w:pPr>
        <w:pStyle w:val="3"/>
      </w:pPr>
    </w:p>
    <w:p w14:paraId="2C67DFC5"/>
    <w:p w14:paraId="0FD109D4">
      <w:pPr>
        <w:pStyle w:val="3"/>
      </w:pPr>
      <w:r>
        <w:drawing>
          <wp:inline distT="0" distB="0" distL="114300" distR="114300">
            <wp:extent cx="9250680" cy="7167245"/>
            <wp:effectExtent l="0" t="0" r="0" b="10795"/>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10"/>
                    <a:stretch>
                      <a:fillRect/>
                    </a:stretch>
                  </pic:blipFill>
                  <pic:spPr>
                    <a:xfrm>
                      <a:off x="0" y="0"/>
                      <a:ext cx="9250680" cy="7167245"/>
                    </a:xfrm>
                    <a:prstGeom prst="rect">
                      <a:avLst/>
                    </a:prstGeom>
                    <a:noFill/>
                    <a:ln>
                      <a:noFill/>
                    </a:ln>
                  </pic:spPr>
                </pic:pic>
              </a:graphicData>
            </a:graphic>
          </wp:inline>
        </w:drawing>
      </w:r>
    </w:p>
    <w:p w14:paraId="42702249">
      <w:pPr>
        <w:pStyle w:val="3"/>
      </w:pPr>
      <w:r>
        <w:drawing>
          <wp:inline distT="0" distB="0" distL="114300" distR="114300">
            <wp:extent cx="9248140" cy="1659890"/>
            <wp:effectExtent l="0" t="0" r="2540" b="1270"/>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11"/>
                    <a:stretch>
                      <a:fillRect/>
                    </a:stretch>
                  </pic:blipFill>
                  <pic:spPr>
                    <a:xfrm>
                      <a:off x="0" y="0"/>
                      <a:ext cx="9248140" cy="1659890"/>
                    </a:xfrm>
                    <a:prstGeom prst="rect">
                      <a:avLst/>
                    </a:prstGeom>
                    <a:noFill/>
                    <a:ln>
                      <a:noFill/>
                    </a:ln>
                  </pic:spPr>
                </pic:pic>
              </a:graphicData>
            </a:graphic>
          </wp:inline>
        </w:drawing>
      </w:r>
    </w:p>
    <w:p w14:paraId="46F880D2"/>
    <w:p w14:paraId="7BAFB627">
      <w:r>
        <w:drawing>
          <wp:inline distT="0" distB="0" distL="114300" distR="114300">
            <wp:extent cx="9244330" cy="6891655"/>
            <wp:effectExtent l="0" t="0" r="6350" b="12065"/>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12"/>
                    <a:stretch>
                      <a:fillRect/>
                    </a:stretch>
                  </pic:blipFill>
                  <pic:spPr>
                    <a:xfrm>
                      <a:off x="0" y="0"/>
                      <a:ext cx="9244330" cy="6891655"/>
                    </a:xfrm>
                    <a:prstGeom prst="rect">
                      <a:avLst/>
                    </a:prstGeom>
                    <a:noFill/>
                    <a:ln>
                      <a:noFill/>
                    </a:ln>
                  </pic:spPr>
                </pic:pic>
              </a:graphicData>
            </a:graphic>
          </wp:inline>
        </w:drawing>
      </w:r>
    </w:p>
    <w:p w14:paraId="6EDD9322">
      <w:pPr>
        <w:pStyle w:val="3"/>
      </w:pPr>
      <w:r>
        <w:drawing>
          <wp:inline distT="0" distB="0" distL="114300" distR="114300">
            <wp:extent cx="9236710" cy="888365"/>
            <wp:effectExtent l="0" t="0" r="13970" b="10795"/>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13"/>
                    <a:stretch>
                      <a:fillRect/>
                    </a:stretch>
                  </pic:blipFill>
                  <pic:spPr>
                    <a:xfrm>
                      <a:off x="0" y="0"/>
                      <a:ext cx="9236710" cy="888365"/>
                    </a:xfrm>
                    <a:prstGeom prst="rect">
                      <a:avLst/>
                    </a:prstGeom>
                    <a:noFill/>
                    <a:ln>
                      <a:noFill/>
                    </a:ln>
                  </pic:spPr>
                </pic:pic>
              </a:graphicData>
            </a:graphic>
          </wp:inline>
        </w:drawing>
      </w:r>
    </w:p>
    <w:p w14:paraId="6E0DCCD8"/>
    <w:p w14:paraId="2963C362"/>
    <w:p w14:paraId="45242AD9"/>
    <w:p w14:paraId="6EFD402D">
      <w:pPr>
        <w:pStyle w:val="3"/>
      </w:pPr>
      <w:r>
        <w:drawing>
          <wp:inline distT="0" distB="0" distL="114300" distR="114300">
            <wp:extent cx="9246870" cy="4841875"/>
            <wp:effectExtent l="0" t="0" r="3810" b="4445"/>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14"/>
                    <a:stretch>
                      <a:fillRect/>
                    </a:stretch>
                  </pic:blipFill>
                  <pic:spPr>
                    <a:xfrm>
                      <a:off x="0" y="0"/>
                      <a:ext cx="9246870" cy="4841875"/>
                    </a:xfrm>
                    <a:prstGeom prst="rect">
                      <a:avLst/>
                    </a:prstGeom>
                    <a:noFill/>
                    <a:ln>
                      <a:noFill/>
                    </a:ln>
                  </pic:spPr>
                </pic:pic>
              </a:graphicData>
            </a:graphic>
          </wp:inline>
        </w:drawing>
      </w:r>
    </w:p>
    <w:p w14:paraId="28D7EE9E"/>
    <w:p w14:paraId="458C261A"/>
    <w:p w14:paraId="394A1360">
      <w:pPr>
        <w:pStyle w:val="3"/>
      </w:pPr>
      <w:r>
        <w:drawing>
          <wp:inline distT="0" distB="0" distL="114300" distR="114300">
            <wp:extent cx="8862060" cy="2682240"/>
            <wp:effectExtent l="0" t="0" r="7620" b="0"/>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15"/>
                    <a:stretch>
                      <a:fillRect/>
                    </a:stretch>
                  </pic:blipFill>
                  <pic:spPr>
                    <a:xfrm>
                      <a:off x="0" y="0"/>
                      <a:ext cx="8862060" cy="2682240"/>
                    </a:xfrm>
                    <a:prstGeom prst="rect">
                      <a:avLst/>
                    </a:prstGeom>
                    <a:noFill/>
                    <a:ln>
                      <a:noFill/>
                    </a:ln>
                  </pic:spPr>
                </pic:pic>
              </a:graphicData>
            </a:graphic>
          </wp:inline>
        </w:drawing>
      </w:r>
    </w:p>
    <w:p w14:paraId="31C5A164"/>
    <w:p w14:paraId="62AC0831">
      <w:pPr>
        <w:pStyle w:val="3"/>
      </w:pPr>
    </w:p>
    <w:p w14:paraId="4CB1A20C"/>
    <w:p w14:paraId="7E4235B4"/>
    <w:p w14:paraId="725804B0">
      <w:pPr>
        <w:pStyle w:val="3"/>
      </w:pPr>
    </w:p>
    <w:p w14:paraId="65FC1FBE">
      <w:r>
        <w:drawing>
          <wp:inline distT="0" distB="0" distL="114300" distR="114300">
            <wp:extent cx="9166860" cy="1341120"/>
            <wp:effectExtent l="0" t="0" r="7620" b="0"/>
            <wp:docPr id="1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pic:cNvPicPr>
                      <a:picLocks noChangeAspect="1"/>
                    </pic:cNvPicPr>
                  </pic:nvPicPr>
                  <pic:blipFill>
                    <a:blip r:embed="rId16"/>
                    <a:stretch>
                      <a:fillRect/>
                    </a:stretch>
                  </pic:blipFill>
                  <pic:spPr>
                    <a:xfrm>
                      <a:off x="0" y="0"/>
                      <a:ext cx="9166860" cy="1341120"/>
                    </a:xfrm>
                    <a:prstGeom prst="rect">
                      <a:avLst/>
                    </a:prstGeom>
                    <a:noFill/>
                    <a:ln>
                      <a:noFill/>
                    </a:ln>
                  </pic:spPr>
                </pic:pic>
              </a:graphicData>
            </a:graphic>
          </wp:inline>
        </w:drawing>
      </w:r>
    </w:p>
    <w:p w14:paraId="4861461F"/>
    <w:p w14:paraId="27F0A93F">
      <w:pPr>
        <w:pStyle w:val="3"/>
        <w:sectPr>
          <w:footerReference r:id="rId3" w:type="default"/>
          <w:pgSz w:w="16838" w:h="11906" w:orient="landscape"/>
          <w:pgMar w:top="1134" w:right="1134" w:bottom="1134" w:left="1134" w:header="851" w:footer="992" w:gutter="0"/>
          <w:cols w:space="720" w:num="1"/>
          <w:docGrid w:type="linesAndChars" w:linePitch="312" w:charSpace="0"/>
        </w:sectPr>
      </w:pPr>
    </w:p>
    <w:p w14:paraId="6C99F438">
      <w:pPr>
        <w:tabs>
          <w:tab w:val="center" w:pos="6979"/>
        </w:tabs>
        <w:spacing w:before="156" w:beforeLines="50" w:after="156" w:afterLines="50"/>
        <w:jc w:val="center"/>
        <w:rPr>
          <w:rFonts w:hint="eastAsia" w:ascii="宋体" w:hAnsi="宋体"/>
          <w:b/>
          <w:sz w:val="32"/>
          <w:szCs w:val="32"/>
        </w:rPr>
      </w:pPr>
      <w:r>
        <w:rPr>
          <w:rFonts w:hint="eastAsia" w:ascii="宋体" w:hAnsi="宋体" w:cs="宋体"/>
          <w:b/>
          <w:bCs/>
          <w:spacing w:val="40"/>
          <w:kern w:val="0"/>
          <w:sz w:val="32"/>
          <w:szCs w:val="32"/>
        </w:rPr>
        <w:t xml:space="preserve">第二部分 </w:t>
      </w:r>
      <w:r>
        <w:rPr>
          <w:rFonts w:hint="eastAsia" w:ascii="宋体" w:hAnsi="宋体"/>
          <w:b/>
          <w:spacing w:val="40"/>
          <w:sz w:val="32"/>
          <w:szCs w:val="32"/>
        </w:rPr>
        <w:t>202</w:t>
      </w:r>
      <w:r>
        <w:rPr>
          <w:rFonts w:hint="eastAsia" w:ascii="宋体" w:hAnsi="宋体"/>
          <w:b/>
          <w:spacing w:val="40"/>
          <w:sz w:val="32"/>
          <w:szCs w:val="32"/>
          <w:lang w:val="en-US" w:eastAsia="zh-CN"/>
        </w:rPr>
        <w:t>4</w:t>
      </w:r>
      <w:r>
        <w:rPr>
          <w:rFonts w:hint="eastAsia" w:ascii="宋体" w:hAnsi="宋体"/>
          <w:b/>
          <w:spacing w:val="40"/>
          <w:sz w:val="32"/>
          <w:szCs w:val="32"/>
        </w:rPr>
        <w:t>年度部门决算说明</w:t>
      </w:r>
    </w:p>
    <w:p w14:paraId="7A4C5AB5">
      <w:pPr>
        <w:tabs>
          <w:tab w:val="center" w:pos="6979"/>
        </w:tabs>
        <w:spacing w:line="580" w:lineRule="exact"/>
        <w:ind w:firstLine="548" w:firstLineChars="196"/>
        <w:rPr>
          <w:rFonts w:hint="eastAsia" w:ascii="黑体" w:eastAsia="黑体"/>
          <w:b/>
          <w:sz w:val="28"/>
          <w:szCs w:val="28"/>
        </w:rPr>
      </w:pPr>
      <w:r>
        <w:rPr>
          <w:rFonts w:hint="eastAsia" w:ascii="黑体" w:eastAsia="黑体"/>
          <w:b/>
          <w:sz w:val="28"/>
          <w:szCs w:val="28"/>
        </w:rPr>
        <w:t>一、部门/单位基本情况</w:t>
      </w:r>
    </w:p>
    <w:p w14:paraId="5291AEFF">
      <w:pPr>
        <w:tabs>
          <w:tab w:val="center" w:pos="6979"/>
        </w:tabs>
        <w:spacing w:line="580" w:lineRule="exact"/>
        <w:ind w:firstLine="420" w:firstLineChars="150"/>
        <w:rPr>
          <w:rFonts w:eastAsia="仿宋_GB2312"/>
          <w:sz w:val="28"/>
          <w:szCs w:val="28"/>
        </w:rPr>
      </w:pPr>
      <w:r>
        <w:rPr>
          <w:rFonts w:eastAsia="仿宋_GB2312"/>
          <w:sz w:val="28"/>
          <w:szCs w:val="28"/>
        </w:rPr>
        <w:t>（一）机构职责</w:t>
      </w:r>
    </w:p>
    <w:p w14:paraId="1F3BC612">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1.</w:t>
      </w:r>
      <w:r>
        <w:rPr>
          <w:rFonts w:hint="eastAsia" w:ascii="仿宋_GB2312" w:hAnsi="仿宋" w:eastAsia="仿宋_GB2312" w:cs="Times New Roman"/>
          <w:sz w:val="28"/>
          <w:szCs w:val="28"/>
          <w:highlight w:val="none"/>
        </w:rPr>
        <w:t>根据区政府授权，依照《中华人民共和国公司法》及《中华人民共和国企业国有资产法》等法律、法规履行国有资本出资人职责；监管区政府履行出资人职责的企业和区政府授权实行企业化管理事业单位的国有资产。</w:t>
      </w:r>
    </w:p>
    <w:p w14:paraId="4A878206">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2.</w:t>
      </w:r>
      <w:r>
        <w:rPr>
          <w:rFonts w:hint="eastAsia" w:ascii="仿宋_GB2312" w:hAnsi="仿宋" w:eastAsia="仿宋_GB2312" w:cs="Times New Roman"/>
          <w:sz w:val="28"/>
          <w:szCs w:val="28"/>
          <w:highlight w:val="none"/>
        </w:rPr>
        <w:t>依照法定程序及规定对区属国有独资企业和国有独资公司分立、合并、破产、解散、增减资本、发行公司债券等重大事项进行管理。</w:t>
      </w:r>
    </w:p>
    <w:p w14:paraId="7381E40E">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3.</w:t>
      </w:r>
      <w:r>
        <w:rPr>
          <w:rFonts w:hint="eastAsia" w:ascii="仿宋_GB2312" w:hAnsi="仿宋" w:eastAsia="仿宋_GB2312" w:cs="Times New Roman"/>
          <w:sz w:val="28"/>
          <w:szCs w:val="28"/>
          <w:highlight w:val="none"/>
        </w:rPr>
        <w:t>推动国有经济布局和结构的战略性调整，加强协调解决区属企业改革、发展、稳定方面的重大问题，指导推进国有及国有控股企业的改革和重组，促进企业建立健全现代企业制度。</w:t>
      </w:r>
    </w:p>
    <w:p w14:paraId="5D7BD702">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4.</w:t>
      </w:r>
      <w:r>
        <w:rPr>
          <w:rFonts w:hint="eastAsia" w:ascii="仿宋_GB2312" w:hAnsi="仿宋" w:eastAsia="仿宋_GB2312" w:cs="Times New Roman"/>
          <w:sz w:val="28"/>
          <w:szCs w:val="28"/>
          <w:highlight w:val="none"/>
        </w:rPr>
        <w:t>通过统计、稽核等方式研究分析所监管企业国有资产的运行状况，建立和完善国有资产保值增值指标体系，维护国有资产出资人的权益。</w:t>
      </w:r>
    </w:p>
    <w:p w14:paraId="6C1983F1">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5.</w:t>
      </w:r>
      <w:r>
        <w:rPr>
          <w:rFonts w:hint="eastAsia" w:ascii="仿宋_GB2312" w:hAnsi="仿宋" w:eastAsia="仿宋_GB2312" w:cs="Times New Roman"/>
          <w:sz w:val="28"/>
          <w:szCs w:val="28"/>
          <w:highlight w:val="none"/>
        </w:rPr>
        <w:t>按照干部管理权限对所监管企业负责人进行任免、考核并根据其经营业绩进行奖惩；联系、协调有关部门对企业负责人任期经营成果实施审计，完善经营者激励和约束制度。</w:t>
      </w:r>
    </w:p>
    <w:p w14:paraId="484E1CF3">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6.</w:t>
      </w:r>
      <w:r>
        <w:rPr>
          <w:rFonts w:hint="eastAsia" w:ascii="仿宋_GB2312" w:hAnsi="仿宋" w:eastAsia="仿宋_GB2312" w:cs="Times New Roman"/>
          <w:sz w:val="28"/>
          <w:szCs w:val="28"/>
          <w:highlight w:val="none"/>
        </w:rPr>
        <w:t>研究建立符合现代企业制度要求的选人、用人机制，负责所管理单位领导班子、领导人员管理和建设。</w:t>
      </w:r>
    </w:p>
    <w:p w14:paraId="239D5614">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7.</w:t>
      </w:r>
      <w:r>
        <w:rPr>
          <w:rFonts w:hint="eastAsia" w:ascii="仿宋_GB2312" w:hAnsi="仿宋" w:eastAsia="仿宋_GB2312" w:cs="Times New Roman"/>
          <w:sz w:val="28"/>
          <w:szCs w:val="28"/>
          <w:highlight w:val="none"/>
        </w:rPr>
        <w:t>负责组织所监管企业上交国有资本收益，按照有关规定负责所监管企业国有资本经营预决算建议草案的编制和执行等工作。</w:t>
      </w:r>
    </w:p>
    <w:p w14:paraId="42B54FE2">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8.</w:t>
      </w:r>
      <w:r>
        <w:rPr>
          <w:rFonts w:hint="eastAsia" w:ascii="仿宋_GB2312" w:hAnsi="仿宋" w:eastAsia="仿宋_GB2312" w:cs="Times New Roman"/>
          <w:sz w:val="28"/>
          <w:szCs w:val="28"/>
          <w:highlight w:val="none"/>
        </w:rPr>
        <w:t>指导和规范所监管企业董事会的相关工作，代表区政府向国有及国有（相对）控股、参股公司委派董事。</w:t>
      </w:r>
    </w:p>
    <w:p w14:paraId="3458B21A">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9.</w:t>
      </w:r>
      <w:r>
        <w:rPr>
          <w:rFonts w:hint="eastAsia" w:ascii="仿宋_GB2312" w:hAnsi="仿宋" w:eastAsia="仿宋_GB2312" w:cs="Times New Roman"/>
          <w:sz w:val="28"/>
          <w:szCs w:val="28"/>
          <w:highlight w:val="none"/>
        </w:rPr>
        <w:t>负责本系统人才工作的宏观管理和人才队伍建设，指导和组织协调本系统各单位的人才教育培训工作。</w:t>
      </w:r>
    </w:p>
    <w:p w14:paraId="6589ED21">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10.</w:t>
      </w:r>
      <w:r>
        <w:rPr>
          <w:rFonts w:hint="eastAsia" w:ascii="仿宋_GB2312" w:hAnsi="仿宋" w:eastAsia="仿宋_GB2312" w:cs="Times New Roman"/>
          <w:sz w:val="28"/>
          <w:szCs w:val="28"/>
          <w:highlight w:val="none"/>
        </w:rPr>
        <w:t>承办区委、区政府和上级业务指导部门交办的其他事项。</w:t>
      </w:r>
    </w:p>
    <w:p w14:paraId="6908B46E">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11.</w:t>
      </w:r>
      <w:r>
        <w:rPr>
          <w:rFonts w:hint="eastAsia" w:ascii="仿宋_GB2312" w:hAnsi="仿宋" w:eastAsia="仿宋_GB2312" w:cs="Times New Roman"/>
          <w:sz w:val="28"/>
          <w:szCs w:val="28"/>
          <w:highlight w:val="none"/>
        </w:rPr>
        <w:t>负责指导、督促所出资企业落实安全生产责任制，配合有关部门协调所出资企业做好安全工作，从出资方角度承担相应的管理责任。</w:t>
      </w:r>
    </w:p>
    <w:p w14:paraId="71BD2D73">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12.</w:t>
      </w:r>
      <w:r>
        <w:rPr>
          <w:rFonts w:hint="eastAsia" w:ascii="仿宋_GB2312" w:hAnsi="仿宋" w:eastAsia="仿宋_GB2312" w:cs="Times New Roman"/>
          <w:sz w:val="28"/>
          <w:szCs w:val="28"/>
          <w:highlight w:val="none"/>
        </w:rPr>
        <w:t>参与组织开展对所出资企业安全生产和应急管理的检查、督查，督促企业落实各项安全防范和隐患治理措施。</w:t>
      </w:r>
    </w:p>
    <w:p w14:paraId="249924CC">
      <w:pPr>
        <w:ind w:firstLine="560" w:firstLineChars="200"/>
        <w:rPr>
          <w:rFonts w:hint="eastAsia" w:ascii="仿宋_GB2312" w:hAnsi="仿宋" w:eastAsia="仿宋_GB2312" w:cs="Times New Roman"/>
          <w:sz w:val="28"/>
          <w:szCs w:val="28"/>
          <w:highlight w:val="none"/>
        </w:rPr>
      </w:pPr>
      <w:r>
        <w:rPr>
          <w:rFonts w:hint="eastAsia" w:ascii="仿宋_GB2312" w:hAnsi="仿宋" w:eastAsia="仿宋_GB2312" w:cs="Times New Roman"/>
          <w:sz w:val="28"/>
          <w:szCs w:val="28"/>
          <w:highlight w:val="none"/>
          <w:lang w:val="en-US" w:eastAsia="zh-CN"/>
        </w:rPr>
        <w:t>13.</w:t>
      </w:r>
      <w:r>
        <w:rPr>
          <w:rFonts w:hint="eastAsia" w:ascii="仿宋_GB2312" w:hAnsi="仿宋" w:eastAsia="仿宋_GB2312" w:cs="Times New Roman"/>
          <w:sz w:val="28"/>
          <w:szCs w:val="28"/>
          <w:highlight w:val="none"/>
        </w:rPr>
        <w:t>参与所出资企业生产安全事故的调查，负责落实事故责任追究的有关规定。</w:t>
      </w:r>
    </w:p>
    <w:p w14:paraId="6D9C688B">
      <w:pPr>
        <w:tabs>
          <w:tab w:val="center" w:pos="6979"/>
        </w:tabs>
        <w:spacing w:line="580" w:lineRule="exact"/>
        <w:ind w:firstLine="420" w:firstLineChars="150"/>
        <w:rPr>
          <w:rFonts w:eastAsia="仿宋_GB2312"/>
          <w:sz w:val="28"/>
          <w:szCs w:val="28"/>
        </w:rPr>
      </w:pPr>
      <w:r>
        <w:rPr>
          <w:rFonts w:eastAsia="仿宋_GB2312"/>
          <w:sz w:val="28"/>
          <w:szCs w:val="28"/>
        </w:rPr>
        <w:t>（</w:t>
      </w:r>
      <w:r>
        <w:rPr>
          <w:rFonts w:hint="eastAsia" w:eastAsia="仿宋_GB2312"/>
          <w:sz w:val="28"/>
          <w:szCs w:val="28"/>
        </w:rPr>
        <w:t>二</w:t>
      </w:r>
      <w:r>
        <w:rPr>
          <w:rFonts w:eastAsia="仿宋_GB2312"/>
          <w:sz w:val="28"/>
          <w:szCs w:val="28"/>
        </w:rPr>
        <w:t>）机构设置（需公开内设机构数量和下属单位数量及名称）</w:t>
      </w:r>
    </w:p>
    <w:p w14:paraId="5B8E00DD">
      <w:pPr>
        <w:pStyle w:val="4"/>
        <w:ind w:firstLine="560"/>
        <w:rPr>
          <w:rFonts w:hint="eastAsia" w:ascii="仿宋_GB2312" w:hAnsi="仿宋" w:eastAsia="仿宋_GB2312" w:cs="Times New Roman"/>
          <w:color w:val="auto"/>
          <w:sz w:val="28"/>
          <w:szCs w:val="28"/>
          <w:highlight w:val="none"/>
          <w:lang w:eastAsia="zh-CN"/>
        </w:rPr>
      </w:pPr>
      <w:r>
        <w:rPr>
          <w:rFonts w:hint="eastAsia" w:ascii="仿宋_GB2312" w:hAnsi="仿宋" w:eastAsia="仿宋_GB2312" w:cs="Times New Roman"/>
          <w:sz w:val="28"/>
          <w:szCs w:val="28"/>
          <w:highlight w:val="none"/>
          <w:lang w:eastAsia="zh-CN"/>
        </w:rPr>
        <w:t>国资委（本级）</w:t>
      </w:r>
      <w:r>
        <w:rPr>
          <w:rFonts w:hint="eastAsia" w:ascii="仿宋_GB2312" w:hAnsi="仿宋" w:eastAsia="仿宋_GB2312" w:cs="Times New Roman"/>
          <w:sz w:val="28"/>
          <w:szCs w:val="28"/>
          <w:highlight w:val="none"/>
        </w:rPr>
        <w:t>为独立编制、独立核算的政府机关，下设办公室、党委工作办公室、改革协同办公室、产权管理科、统计评价科、预算考核科、监督科、企业人才管理科、信访科（安全生产办公室）</w:t>
      </w:r>
      <w:r>
        <w:rPr>
          <w:rFonts w:hint="eastAsia" w:ascii="仿宋_GB2312" w:hAnsi="仿宋" w:eastAsia="仿宋_GB2312" w:cs="Times New Roman"/>
          <w:sz w:val="28"/>
          <w:szCs w:val="28"/>
          <w:highlight w:val="none"/>
          <w:lang w:eastAsia="zh-CN"/>
        </w:rPr>
        <w:t>、公司治理科</w:t>
      </w:r>
      <w:r>
        <w:rPr>
          <w:rFonts w:hint="eastAsia" w:ascii="仿宋_GB2312" w:hAnsi="仿宋" w:eastAsia="仿宋_GB2312" w:cs="Times New Roman"/>
          <w:sz w:val="28"/>
          <w:szCs w:val="28"/>
          <w:highlight w:val="none"/>
          <w:lang w:val="en-US" w:eastAsia="zh-CN"/>
        </w:rPr>
        <w:t>10</w:t>
      </w:r>
      <w:r>
        <w:rPr>
          <w:rFonts w:hint="eastAsia" w:ascii="仿宋_GB2312" w:hAnsi="仿宋" w:eastAsia="仿宋_GB2312" w:cs="Times New Roman"/>
          <w:sz w:val="28"/>
          <w:szCs w:val="28"/>
          <w:highlight w:val="none"/>
        </w:rPr>
        <w:t>个科室</w:t>
      </w:r>
      <w:r>
        <w:rPr>
          <w:rFonts w:hint="eastAsia" w:ascii="仿宋_GB2312" w:hAnsi="仿宋" w:eastAsia="仿宋_GB2312" w:cs="Times New Roman"/>
          <w:color w:val="auto"/>
          <w:sz w:val="28"/>
          <w:szCs w:val="28"/>
          <w:highlight w:val="none"/>
          <w:lang w:eastAsia="zh-CN"/>
        </w:rPr>
        <w:t>。</w:t>
      </w:r>
    </w:p>
    <w:p w14:paraId="13AB0273">
      <w:pPr>
        <w:pStyle w:val="4"/>
        <w:ind w:firstLine="560"/>
        <w:rPr>
          <w:rFonts w:hint="eastAsia" w:ascii="仿宋_GB2312" w:hAnsi="仿宋" w:eastAsia="仿宋_GB2312" w:cs="Times New Roman"/>
          <w:color w:val="auto"/>
          <w:sz w:val="28"/>
          <w:szCs w:val="28"/>
          <w:highlight w:val="none"/>
          <w:lang w:eastAsia="zh-CN"/>
        </w:rPr>
      </w:pPr>
      <w:r>
        <w:rPr>
          <w:rFonts w:hint="eastAsia" w:ascii="仿宋_GB2312" w:hAnsi="仿宋" w:eastAsia="仿宋_GB2312" w:cs="Times New Roman"/>
          <w:color w:val="auto"/>
          <w:sz w:val="28"/>
          <w:szCs w:val="28"/>
          <w:highlight w:val="none"/>
          <w:lang w:eastAsia="zh-CN"/>
        </w:rPr>
        <w:t>下属单位共1</w:t>
      </w:r>
      <w:r>
        <w:rPr>
          <w:rFonts w:hint="eastAsia" w:ascii="仿宋_GB2312" w:hAnsi="仿宋" w:eastAsia="仿宋_GB2312" w:cs="Times New Roman"/>
          <w:color w:val="auto"/>
          <w:sz w:val="28"/>
          <w:szCs w:val="28"/>
          <w:highlight w:val="none"/>
          <w:lang w:val="en-US" w:eastAsia="zh-CN"/>
        </w:rPr>
        <w:t>3</w:t>
      </w:r>
      <w:r>
        <w:rPr>
          <w:rFonts w:hint="eastAsia" w:ascii="仿宋_GB2312" w:hAnsi="仿宋" w:eastAsia="仿宋_GB2312" w:cs="Times New Roman"/>
          <w:color w:val="auto"/>
          <w:sz w:val="28"/>
          <w:szCs w:val="28"/>
          <w:highlight w:val="none"/>
          <w:lang w:eastAsia="zh-CN"/>
        </w:rPr>
        <w:t>家，即：北京金融街投资（集团）有限公司、北京金融街资本运营集团有限公司、北京天恒置业集团有限公司、北京市华远集团公司、北京广安控股集团有限公司、北京天桥盛世投资集团有限责任公司、北京宣房投资管理集团有限公司、北京华天饮食控股集团有限公司、北京华方投资有限公司、北京市西城区国有资产经营（集团）有限责任公司、北京德源兴业投资管理集团有限公司、北京环雅丽都投资有限公司、</w:t>
      </w:r>
      <w:r>
        <w:rPr>
          <w:rFonts w:hint="eastAsia" w:ascii="仿宋_GB2312" w:hAnsi="仿宋" w:eastAsia="仿宋_GB2312" w:cs="Times New Roman"/>
          <w:color w:val="auto"/>
          <w:sz w:val="28"/>
          <w:szCs w:val="28"/>
          <w:highlight w:val="none"/>
          <w:lang w:val="en-US" w:eastAsia="zh-CN"/>
        </w:rPr>
        <w:t>北京蓟城山水投资管理集团</w:t>
      </w:r>
      <w:r>
        <w:rPr>
          <w:rFonts w:hint="eastAsia" w:ascii="仿宋_GB2312" w:hAnsi="仿宋" w:eastAsia="仿宋_GB2312" w:cs="Times New Roman"/>
          <w:color w:val="auto"/>
          <w:sz w:val="28"/>
          <w:szCs w:val="28"/>
          <w:highlight w:val="none"/>
          <w:lang w:eastAsia="zh-CN"/>
        </w:rPr>
        <w:t>有限公司。</w:t>
      </w:r>
    </w:p>
    <w:p w14:paraId="7505822E">
      <w:pPr>
        <w:tabs>
          <w:tab w:val="center" w:pos="6979"/>
        </w:tabs>
        <w:spacing w:line="580" w:lineRule="exact"/>
        <w:rPr>
          <w:rFonts w:hint="eastAsia" w:ascii="黑体" w:eastAsia="黑体"/>
          <w:b/>
          <w:sz w:val="28"/>
          <w:szCs w:val="28"/>
        </w:rPr>
      </w:pPr>
      <w:r>
        <w:rPr>
          <w:rFonts w:hint="eastAsia" w:ascii="仿宋_GB2312" w:eastAsia="仿宋_GB2312"/>
          <w:b/>
          <w:sz w:val="32"/>
          <w:szCs w:val="32"/>
        </w:rPr>
        <w:t xml:space="preserve">   </w:t>
      </w:r>
      <w:r>
        <w:rPr>
          <w:rFonts w:hint="eastAsia" w:ascii="黑体" w:eastAsia="黑体"/>
          <w:b/>
          <w:sz w:val="28"/>
          <w:szCs w:val="28"/>
        </w:rPr>
        <w:t>二、收入支出决算总体情况说明</w:t>
      </w:r>
    </w:p>
    <w:p w14:paraId="1C5E68A7">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4</w:t>
      </w:r>
      <w:r>
        <w:rPr>
          <w:rFonts w:hint="eastAsia" w:ascii="仿宋_GB2312" w:eastAsia="仿宋_GB2312"/>
          <w:sz w:val="28"/>
          <w:szCs w:val="28"/>
        </w:rPr>
        <w:t>年度收、</w:t>
      </w:r>
      <w:r>
        <w:rPr>
          <w:rFonts w:ascii="仿宋_GB2312" w:eastAsia="仿宋_GB2312"/>
          <w:sz w:val="28"/>
          <w:szCs w:val="28"/>
        </w:rPr>
        <w:t>支</w:t>
      </w:r>
      <w:r>
        <w:rPr>
          <w:rFonts w:hint="eastAsia" w:ascii="仿宋_GB2312" w:eastAsia="仿宋_GB2312"/>
          <w:sz w:val="28"/>
          <w:szCs w:val="28"/>
        </w:rPr>
        <w:t>总计</w:t>
      </w:r>
      <w:r>
        <w:rPr>
          <w:rFonts w:hint="eastAsia" w:ascii="仿宋_GB2312" w:eastAsia="仿宋_GB2312"/>
          <w:sz w:val="28"/>
          <w:szCs w:val="28"/>
          <w:lang w:val="en-US" w:eastAsia="zh-CN"/>
        </w:rPr>
        <w:t>0</w:t>
      </w:r>
      <w:r>
        <w:rPr>
          <w:rFonts w:hint="eastAsia" w:ascii="仿宋_GB2312" w:eastAsia="仿宋_GB2312"/>
          <w:sz w:val="28"/>
          <w:szCs w:val="28"/>
        </w:rPr>
        <w:t>万元。</w:t>
      </w:r>
    </w:p>
    <w:p w14:paraId="45612F69">
      <w:pPr>
        <w:tabs>
          <w:tab w:val="center" w:pos="6979"/>
        </w:tabs>
        <w:spacing w:line="580" w:lineRule="exact"/>
        <w:ind w:firstLine="570"/>
        <w:rPr>
          <w:rFonts w:hint="eastAsia" w:ascii="仿宋_GB2312" w:eastAsia="仿宋_GB2312"/>
          <w:sz w:val="28"/>
          <w:szCs w:val="28"/>
          <w:highlight w:val="none"/>
        </w:rPr>
      </w:pPr>
      <w:r>
        <w:rPr>
          <w:rFonts w:hint="eastAsia" w:ascii="仿宋_GB2312" w:eastAsia="仿宋_GB2312"/>
          <w:sz w:val="28"/>
          <w:szCs w:val="28"/>
          <w:highlight w:val="none"/>
        </w:rPr>
        <w:t>（一</w:t>
      </w:r>
      <w:r>
        <w:rPr>
          <w:rFonts w:ascii="仿宋_GB2312" w:eastAsia="仿宋_GB2312"/>
          <w:sz w:val="28"/>
          <w:szCs w:val="28"/>
          <w:highlight w:val="none"/>
        </w:rPr>
        <w:t>）</w:t>
      </w:r>
      <w:r>
        <w:rPr>
          <w:rFonts w:hint="eastAsia" w:ascii="仿宋_GB2312" w:eastAsia="仿宋_GB2312"/>
          <w:sz w:val="28"/>
          <w:szCs w:val="28"/>
          <w:highlight w:val="none"/>
        </w:rPr>
        <w:t>收入决算</w:t>
      </w:r>
      <w:r>
        <w:rPr>
          <w:rFonts w:ascii="仿宋_GB2312" w:eastAsia="仿宋_GB2312"/>
          <w:sz w:val="28"/>
          <w:szCs w:val="28"/>
          <w:highlight w:val="none"/>
        </w:rPr>
        <w:t>说明</w:t>
      </w:r>
    </w:p>
    <w:p w14:paraId="686505A7">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4</w:t>
      </w:r>
      <w:r>
        <w:rPr>
          <w:rFonts w:hint="eastAsia" w:ascii="仿宋_GB2312" w:eastAsia="仿宋_GB2312"/>
          <w:sz w:val="28"/>
          <w:szCs w:val="28"/>
        </w:rPr>
        <w:t>年度本年收入合计</w:t>
      </w:r>
      <w:r>
        <w:rPr>
          <w:rFonts w:hint="eastAsia" w:ascii="仿宋_GB2312" w:eastAsia="仿宋_GB2312"/>
          <w:sz w:val="28"/>
          <w:szCs w:val="28"/>
          <w:lang w:val="en-US" w:eastAsia="zh-CN"/>
        </w:rPr>
        <w:t>12509.15</w:t>
      </w:r>
      <w:r>
        <w:rPr>
          <w:rFonts w:hint="eastAsia" w:ascii="仿宋_GB2312" w:eastAsia="仿宋_GB2312"/>
          <w:sz w:val="28"/>
          <w:szCs w:val="28"/>
        </w:rPr>
        <w:t>万元</w:t>
      </w:r>
      <w:r>
        <w:rPr>
          <w:rFonts w:hint="eastAsia" w:ascii="仿宋_GB2312" w:eastAsia="仿宋_GB2312"/>
          <w:sz w:val="28"/>
          <w:szCs w:val="28"/>
          <w:lang w:eastAsia="zh-CN"/>
        </w:rPr>
        <w:t>。</w:t>
      </w:r>
      <w:r>
        <w:rPr>
          <w:rFonts w:hint="eastAsia" w:ascii="仿宋_GB2312" w:eastAsia="仿宋_GB2312"/>
          <w:sz w:val="28"/>
          <w:szCs w:val="28"/>
        </w:rPr>
        <w:t>其中：财政拨款收入</w:t>
      </w:r>
      <w:r>
        <w:rPr>
          <w:rFonts w:hint="eastAsia" w:ascii="仿宋_GB2312" w:eastAsia="仿宋_GB2312"/>
          <w:sz w:val="28"/>
          <w:szCs w:val="28"/>
          <w:lang w:val="en-US" w:eastAsia="zh-CN"/>
        </w:rPr>
        <w:t>12509.15</w:t>
      </w:r>
      <w:r>
        <w:rPr>
          <w:rFonts w:hint="eastAsia" w:ascii="仿宋_GB2312" w:eastAsia="仿宋_GB2312"/>
          <w:sz w:val="28"/>
          <w:szCs w:val="28"/>
        </w:rPr>
        <w:t>万元，占收入合计的</w:t>
      </w:r>
      <w:r>
        <w:rPr>
          <w:rFonts w:ascii="仿宋_GB2312" w:eastAsia="仿宋_GB2312"/>
          <w:sz w:val="28"/>
          <w:szCs w:val="28"/>
        </w:rPr>
        <w:t>100</w:t>
      </w:r>
      <w:r>
        <w:rPr>
          <w:rFonts w:hint="eastAsia" w:ascii="仿宋_GB2312" w:eastAsia="仿宋_GB2312"/>
          <w:sz w:val="28"/>
          <w:szCs w:val="28"/>
        </w:rPr>
        <w:t>%。</w:t>
      </w:r>
    </w:p>
    <w:p w14:paraId="7AB20547">
      <w:pPr>
        <w:numPr>
          <w:ilvl w:val="0"/>
          <w:numId w:val="0"/>
        </w:numPr>
        <w:tabs>
          <w:tab w:val="center" w:pos="6979"/>
        </w:tabs>
        <w:spacing w:line="580" w:lineRule="exact"/>
        <w:ind w:firstLine="560" w:firstLineChars="200"/>
        <w:rPr>
          <w:rFonts w:hint="eastAsia" w:ascii="仿宋_GB2312" w:eastAsia="仿宋_GB2312"/>
          <w:sz w:val="28"/>
          <w:szCs w:val="28"/>
          <w:lang w:eastAsia="zh-CN"/>
        </w:rPr>
      </w:pPr>
      <w:r>
        <w:rPr>
          <w:rFonts w:hint="eastAsia" w:ascii="仿宋_GB2312" w:eastAsia="仿宋_GB2312"/>
          <w:sz w:val="28"/>
          <w:szCs w:val="28"/>
        </w:rPr>
        <w:t>财政拨款收入</w:t>
      </w:r>
      <w:r>
        <w:rPr>
          <w:rFonts w:hint="eastAsia" w:ascii="仿宋_GB2312" w:eastAsia="仿宋_GB2312"/>
          <w:sz w:val="28"/>
          <w:szCs w:val="28"/>
          <w:lang w:val="en-US" w:eastAsia="zh-CN"/>
        </w:rPr>
        <w:t>12509.15</w:t>
      </w:r>
      <w:r>
        <w:rPr>
          <w:rFonts w:hint="eastAsia" w:ascii="仿宋_GB2312" w:eastAsia="仿宋_GB2312"/>
          <w:sz w:val="28"/>
          <w:szCs w:val="28"/>
        </w:rPr>
        <w:t>万元，占收入合计的</w:t>
      </w:r>
      <w:r>
        <w:rPr>
          <w:rFonts w:hint="eastAsia" w:ascii="仿宋_GB2312" w:eastAsia="仿宋_GB2312"/>
          <w:sz w:val="28"/>
          <w:szCs w:val="28"/>
          <w:lang w:val="en-US" w:eastAsia="zh-CN"/>
        </w:rPr>
        <w:t>10</w:t>
      </w:r>
      <w:r>
        <w:rPr>
          <w:rFonts w:hint="eastAsia" w:ascii="仿宋_GB2312" w:eastAsia="仿宋_GB2312"/>
          <w:sz w:val="28"/>
          <w:szCs w:val="28"/>
          <w:lang w:eastAsia="zh-CN"/>
        </w:rPr>
        <w:t>0%。</w:t>
      </w:r>
      <w:r>
        <w:rPr>
          <w:rFonts w:hint="eastAsia" w:ascii="仿宋_GB2312" w:eastAsia="仿宋_GB2312"/>
          <w:sz w:val="28"/>
          <w:szCs w:val="28"/>
        </w:rPr>
        <w:t>其中：</w:t>
      </w:r>
      <w:r>
        <w:rPr>
          <w:rFonts w:hint="eastAsia" w:ascii="仿宋_GB2312" w:eastAsia="仿宋_GB2312"/>
          <w:sz w:val="28"/>
          <w:szCs w:val="28"/>
          <w:lang w:eastAsia="zh-CN"/>
        </w:rPr>
        <w:t>一般公共预算财政拨款收入</w:t>
      </w:r>
      <w:r>
        <w:rPr>
          <w:rFonts w:ascii="仿宋_GB2312" w:eastAsia="仿宋_GB2312"/>
          <w:sz w:val="28"/>
          <w:szCs w:val="28"/>
        </w:rPr>
        <w:t>0</w:t>
      </w:r>
      <w:r>
        <w:rPr>
          <w:rFonts w:hint="eastAsia" w:ascii="仿宋_GB2312" w:eastAsia="仿宋_GB2312"/>
          <w:sz w:val="28"/>
          <w:szCs w:val="28"/>
        </w:rPr>
        <w:t>万元，占收入合计的</w:t>
      </w:r>
      <w:r>
        <w:rPr>
          <w:rFonts w:hint="eastAsia" w:ascii="仿宋_GB2312" w:eastAsia="仿宋_GB2312"/>
          <w:sz w:val="28"/>
          <w:szCs w:val="28"/>
          <w:lang w:eastAsia="zh-CN"/>
        </w:rPr>
        <w:t>0</w:t>
      </w:r>
      <w:r>
        <w:rPr>
          <w:rFonts w:hint="eastAsia" w:ascii="仿宋_GB2312" w:eastAsia="仿宋_GB2312"/>
          <w:sz w:val="28"/>
          <w:szCs w:val="28"/>
        </w:rPr>
        <w:t>%；</w:t>
      </w:r>
      <w:r>
        <w:rPr>
          <w:rFonts w:hint="eastAsia" w:ascii="仿宋_GB2312" w:eastAsia="仿宋_GB2312"/>
          <w:sz w:val="28"/>
          <w:szCs w:val="28"/>
          <w:lang w:eastAsia="zh-CN"/>
        </w:rPr>
        <w:t>政府性基金预算财政拨款收入</w:t>
      </w:r>
      <w:r>
        <w:rPr>
          <w:rFonts w:ascii="仿宋_GB2312" w:eastAsia="仿宋_GB2312"/>
          <w:sz w:val="28"/>
          <w:szCs w:val="28"/>
        </w:rPr>
        <w:t>0</w:t>
      </w:r>
      <w:r>
        <w:rPr>
          <w:rFonts w:hint="eastAsia" w:ascii="仿宋_GB2312" w:eastAsia="仿宋_GB2312"/>
          <w:sz w:val="28"/>
          <w:szCs w:val="28"/>
        </w:rPr>
        <w:t>万元，占收入合计的</w:t>
      </w:r>
      <w:r>
        <w:rPr>
          <w:rFonts w:hint="eastAsia" w:ascii="仿宋_GB2312" w:eastAsia="仿宋_GB2312"/>
          <w:sz w:val="28"/>
          <w:szCs w:val="28"/>
          <w:lang w:eastAsia="zh-CN"/>
        </w:rPr>
        <w:t>0</w:t>
      </w:r>
      <w:r>
        <w:rPr>
          <w:rFonts w:hint="eastAsia" w:ascii="仿宋_GB2312" w:eastAsia="仿宋_GB2312"/>
          <w:sz w:val="28"/>
          <w:szCs w:val="28"/>
        </w:rPr>
        <w:t>%；</w:t>
      </w:r>
      <w:r>
        <w:rPr>
          <w:rFonts w:hint="eastAsia" w:ascii="仿宋_GB2312" w:eastAsia="仿宋_GB2312"/>
          <w:sz w:val="28"/>
          <w:szCs w:val="28"/>
          <w:lang w:eastAsia="zh-CN"/>
        </w:rPr>
        <w:t>国有资本经营预算财政拨款收入</w:t>
      </w:r>
      <w:r>
        <w:rPr>
          <w:rFonts w:hint="eastAsia" w:ascii="仿宋_GB2312" w:eastAsia="仿宋_GB2312"/>
          <w:sz w:val="28"/>
          <w:szCs w:val="28"/>
          <w:lang w:val="en-US" w:eastAsia="zh-CN"/>
        </w:rPr>
        <w:t>12509.15</w:t>
      </w:r>
      <w:r>
        <w:rPr>
          <w:rFonts w:hint="eastAsia" w:ascii="仿宋_GB2312" w:eastAsia="仿宋_GB2312"/>
          <w:sz w:val="28"/>
          <w:szCs w:val="28"/>
        </w:rPr>
        <w:t>万元，占收入合计的</w:t>
      </w:r>
      <w:r>
        <w:rPr>
          <w:rFonts w:hint="eastAsia" w:ascii="仿宋_GB2312" w:eastAsia="仿宋_GB2312"/>
          <w:sz w:val="28"/>
          <w:szCs w:val="28"/>
          <w:lang w:val="en-US" w:eastAsia="zh-CN"/>
        </w:rPr>
        <w:t>10</w:t>
      </w:r>
      <w:r>
        <w:rPr>
          <w:rFonts w:hint="eastAsia" w:ascii="仿宋_GB2312" w:eastAsia="仿宋_GB2312"/>
          <w:sz w:val="28"/>
          <w:szCs w:val="28"/>
          <w:lang w:eastAsia="zh-CN"/>
        </w:rPr>
        <w:t>0</w:t>
      </w:r>
      <w:r>
        <w:rPr>
          <w:rFonts w:hint="eastAsia" w:ascii="仿宋_GB2312" w:eastAsia="仿宋_GB2312"/>
          <w:sz w:val="28"/>
          <w:szCs w:val="28"/>
        </w:rPr>
        <w:t>%</w:t>
      </w:r>
      <w:r>
        <w:rPr>
          <w:rFonts w:hint="eastAsia" w:ascii="仿宋_GB2312" w:eastAsia="仿宋_GB2312"/>
          <w:sz w:val="28"/>
          <w:szCs w:val="28"/>
          <w:lang w:eastAsia="zh-CN"/>
        </w:rPr>
        <w:t>。</w:t>
      </w:r>
    </w:p>
    <w:p w14:paraId="4A34F559">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（二</w:t>
      </w:r>
      <w:r>
        <w:rPr>
          <w:rFonts w:ascii="仿宋_GB2312" w:eastAsia="仿宋_GB2312"/>
          <w:sz w:val="28"/>
          <w:szCs w:val="28"/>
        </w:rPr>
        <w:t>）</w:t>
      </w:r>
      <w:r>
        <w:rPr>
          <w:rFonts w:hint="eastAsia" w:ascii="仿宋_GB2312" w:eastAsia="仿宋_GB2312"/>
          <w:sz w:val="28"/>
          <w:szCs w:val="28"/>
        </w:rPr>
        <w:t>支出决算</w:t>
      </w:r>
      <w:r>
        <w:rPr>
          <w:rFonts w:ascii="仿宋_GB2312" w:eastAsia="仿宋_GB2312"/>
          <w:sz w:val="28"/>
          <w:szCs w:val="28"/>
        </w:rPr>
        <w:t>说明</w:t>
      </w:r>
    </w:p>
    <w:p w14:paraId="31FC0AC7">
      <w:pPr>
        <w:tabs>
          <w:tab w:val="center" w:pos="6979"/>
        </w:tabs>
        <w:spacing w:line="580" w:lineRule="exact"/>
        <w:ind w:firstLine="570"/>
        <w:rPr>
          <w:rFonts w:hint="eastAsia"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4</w:t>
      </w:r>
      <w:r>
        <w:rPr>
          <w:rFonts w:hint="eastAsia" w:ascii="仿宋_GB2312" w:eastAsia="仿宋_GB2312"/>
          <w:sz w:val="28"/>
          <w:szCs w:val="28"/>
        </w:rPr>
        <w:t>年度本年支出合计</w:t>
      </w:r>
      <w:r>
        <w:rPr>
          <w:rFonts w:hint="eastAsia" w:ascii="仿宋_GB2312" w:eastAsia="仿宋_GB2312"/>
          <w:sz w:val="28"/>
          <w:szCs w:val="28"/>
          <w:lang w:val="en-US" w:eastAsia="zh-CN"/>
        </w:rPr>
        <w:t>12419.44</w:t>
      </w:r>
      <w:r>
        <w:rPr>
          <w:rFonts w:hint="eastAsia" w:ascii="仿宋_GB2312" w:eastAsia="仿宋_GB2312"/>
          <w:sz w:val="28"/>
          <w:szCs w:val="28"/>
        </w:rPr>
        <w:t>万元，其中：项目支出</w:t>
      </w:r>
      <w:r>
        <w:rPr>
          <w:rFonts w:hint="eastAsia" w:ascii="仿宋_GB2312" w:eastAsia="仿宋_GB2312"/>
          <w:sz w:val="28"/>
          <w:szCs w:val="28"/>
          <w:lang w:val="en-US" w:eastAsia="zh-CN"/>
        </w:rPr>
        <w:t>12419.44</w:t>
      </w:r>
      <w:r>
        <w:rPr>
          <w:rFonts w:hint="eastAsia" w:ascii="仿宋_GB2312" w:eastAsia="仿宋_GB2312"/>
          <w:sz w:val="28"/>
          <w:szCs w:val="28"/>
        </w:rPr>
        <w:t>万元，占支出合计的</w:t>
      </w:r>
      <w:r>
        <w:rPr>
          <w:rFonts w:hint="eastAsia" w:ascii="仿宋_GB2312" w:eastAsia="仿宋_GB2312"/>
          <w:sz w:val="28"/>
          <w:szCs w:val="28"/>
          <w:lang w:val="en-US" w:eastAsia="zh-CN"/>
        </w:rPr>
        <w:t>100</w:t>
      </w:r>
      <w:r>
        <w:rPr>
          <w:rFonts w:hint="eastAsia" w:ascii="仿宋_GB2312" w:eastAsia="仿宋_GB2312"/>
          <w:sz w:val="28"/>
          <w:szCs w:val="28"/>
        </w:rPr>
        <w:t>%</w:t>
      </w:r>
      <w:r>
        <w:rPr>
          <w:rFonts w:hint="eastAsia" w:ascii="仿宋_GB2312" w:eastAsia="仿宋_GB2312"/>
          <w:sz w:val="28"/>
          <w:szCs w:val="28"/>
          <w:lang w:eastAsia="zh-CN"/>
        </w:rPr>
        <w:t>。</w:t>
      </w:r>
    </w:p>
    <w:p w14:paraId="7616F6BD">
      <w:pPr>
        <w:tabs>
          <w:tab w:val="center" w:pos="6979"/>
        </w:tabs>
        <w:spacing w:line="580" w:lineRule="exact"/>
        <w:ind w:firstLine="548" w:firstLineChars="196"/>
        <w:rPr>
          <w:rFonts w:hint="eastAsia" w:ascii="黑体" w:eastAsia="黑体"/>
          <w:b/>
          <w:sz w:val="28"/>
          <w:szCs w:val="28"/>
        </w:rPr>
      </w:pPr>
      <w:r>
        <w:rPr>
          <w:rFonts w:hint="eastAsia" w:ascii="黑体" w:eastAsia="黑体"/>
          <w:b/>
          <w:sz w:val="28"/>
          <w:szCs w:val="28"/>
        </w:rPr>
        <w:t>三</w:t>
      </w:r>
      <w:r>
        <w:rPr>
          <w:rFonts w:ascii="黑体" w:eastAsia="黑体"/>
          <w:b/>
          <w:sz w:val="28"/>
          <w:szCs w:val="28"/>
        </w:rPr>
        <w:t>、财政拨款</w:t>
      </w:r>
      <w:r>
        <w:rPr>
          <w:rFonts w:hint="eastAsia" w:ascii="黑体" w:eastAsia="黑体"/>
          <w:b/>
          <w:sz w:val="28"/>
          <w:szCs w:val="28"/>
        </w:rPr>
        <w:t>收入支出决算</w:t>
      </w:r>
      <w:r>
        <w:rPr>
          <w:rFonts w:ascii="黑体" w:eastAsia="黑体"/>
          <w:b/>
          <w:sz w:val="28"/>
          <w:szCs w:val="28"/>
        </w:rPr>
        <w:t>总体情况说明</w:t>
      </w:r>
    </w:p>
    <w:p w14:paraId="0A693CEA">
      <w:pPr>
        <w:tabs>
          <w:tab w:val="center" w:pos="6979"/>
        </w:tabs>
        <w:spacing w:line="580" w:lineRule="exact"/>
        <w:ind w:firstLine="548" w:firstLineChars="196"/>
        <w:rPr>
          <w:rFonts w:hint="eastAsia" w:ascii="仿宋_GB2312" w:eastAsia="仿宋_GB2312"/>
          <w:sz w:val="28"/>
          <w:szCs w:val="28"/>
          <w:highlight w:val="none"/>
          <w:lang w:val="en-US" w:eastAsia="zh-CN"/>
        </w:rPr>
      </w:pPr>
      <w:r>
        <w:rPr>
          <w:rFonts w:hint="eastAsia" w:ascii="仿宋_GB2312" w:eastAsia="仿宋_GB2312"/>
          <w:sz w:val="28"/>
          <w:szCs w:val="28"/>
        </w:rPr>
        <w:t>202</w:t>
      </w:r>
      <w:r>
        <w:rPr>
          <w:rFonts w:hint="eastAsia" w:ascii="仿宋_GB2312" w:eastAsia="仿宋_GB2312"/>
          <w:sz w:val="28"/>
          <w:szCs w:val="28"/>
          <w:lang w:val="en-US" w:eastAsia="zh-CN"/>
        </w:rPr>
        <w:t>4</w:t>
      </w:r>
      <w:r>
        <w:rPr>
          <w:rFonts w:hint="eastAsia" w:ascii="仿宋_GB2312" w:eastAsia="仿宋_GB2312"/>
          <w:sz w:val="28"/>
          <w:szCs w:val="28"/>
        </w:rPr>
        <w:t>年度财政拨款收、</w:t>
      </w:r>
      <w:r>
        <w:rPr>
          <w:rFonts w:ascii="仿宋_GB2312" w:eastAsia="仿宋_GB2312"/>
          <w:sz w:val="28"/>
          <w:szCs w:val="28"/>
        </w:rPr>
        <w:t>支</w:t>
      </w:r>
      <w:r>
        <w:rPr>
          <w:rFonts w:hint="eastAsia" w:ascii="仿宋_GB2312" w:eastAsia="仿宋_GB2312"/>
          <w:sz w:val="28"/>
          <w:szCs w:val="28"/>
        </w:rPr>
        <w:t>总计</w:t>
      </w:r>
      <w:r>
        <w:rPr>
          <w:rFonts w:hint="eastAsia" w:ascii="仿宋_GB2312" w:eastAsia="仿宋_GB2312"/>
          <w:sz w:val="28"/>
          <w:szCs w:val="28"/>
          <w:lang w:val="en-US" w:eastAsia="zh-CN"/>
        </w:rPr>
        <w:t>0</w:t>
      </w:r>
      <w:r>
        <w:rPr>
          <w:rFonts w:hint="eastAsia" w:ascii="仿宋_GB2312" w:eastAsia="仿宋_GB2312"/>
          <w:sz w:val="28"/>
          <w:szCs w:val="28"/>
        </w:rPr>
        <w:t>万元。</w:t>
      </w:r>
      <w:r>
        <w:rPr>
          <w:rFonts w:hint="eastAsia" w:ascii="仿宋_GB2312" w:eastAsia="仿宋_GB2312"/>
          <w:sz w:val="28"/>
          <w:szCs w:val="28"/>
          <w:highlight w:val="none"/>
        </w:rPr>
        <w:t>主要原因：</w:t>
      </w:r>
      <w:r>
        <w:rPr>
          <w:rFonts w:hint="eastAsia" w:ascii="仿宋_GB2312" w:eastAsia="仿宋_GB2312"/>
          <w:sz w:val="28"/>
          <w:szCs w:val="28"/>
          <w:highlight w:val="none"/>
          <w:lang w:val="en-US" w:eastAsia="zh-CN"/>
        </w:rPr>
        <w:t>按照《西城区国有资本经营预算管理暂行办法》，区级国有资本经营预算是对国有资本收益作出支出安排的收支预算，按照收支平衡的原则编制，以收定支，不列赤字。区级国有资本经营预算收入是区属国有企业上缴，并纳入国有资本经营预算管理的国有资本收益，主要包含利润收入、股利股息收入、产权转让收入、清算收入等。因此国有资本经营预算支出的变动主要是源于每年国有资本收益收缴的变动。</w:t>
      </w:r>
    </w:p>
    <w:p w14:paraId="130D526A">
      <w:pPr>
        <w:tabs>
          <w:tab w:val="center" w:pos="6979"/>
        </w:tabs>
        <w:spacing w:line="580" w:lineRule="exact"/>
        <w:ind w:firstLine="548" w:firstLineChars="196"/>
        <w:rPr>
          <w:rFonts w:hint="eastAsia" w:ascii="黑体" w:eastAsia="黑体"/>
          <w:b/>
          <w:sz w:val="28"/>
          <w:szCs w:val="28"/>
          <w:lang w:eastAsia="zh-CN"/>
        </w:rPr>
      </w:pPr>
      <w:r>
        <w:rPr>
          <w:rFonts w:hint="eastAsia" w:ascii="黑体" w:eastAsia="黑体"/>
          <w:b/>
          <w:sz w:val="28"/>
          <w:szCs w:val="28"/>
        </w:rPr>
        <w:t>四、一般公共预算财政拨款支出决算情况说明</w:t>
      </w:r>
      <w:r>
        <w:rPr>
          <w:rFonts w:hint="eastAsia" w:ascii="黑体" w:eastAsia="黑体"/>
          <w:b/>
          <w:sz w:val="28"/>
          <w:szCs w:val="28"/>
          <w:lang w:eastAsia="zh-CN"/>
        </w:rPr>
        <w:t>（不涉及）</w:t>
      </w:r>
    </w:p>
    <w:p w14:paraId="55032BEB">
      <w:pPr>
        <w:spacing w:line="580" w:lineRule="exact"/>
        <w:ind w:firstLine="548" w:firstLineChars="196"/>
        <w:rPr>
          <w:rFonts w:hint="eastAsia" w:ascii="黑体" w:eastAsia="黑体"/>
          <w:sz w:val="28"/>
          <w:szCs w:val="28"/>
          <w:lang w:eastAsia="zh-CN"/>
        </w:rPr>
      </w:pPr>
      <w:r>
        <w:rPr>
          <w:rFonts w:hint="eastAsia" w:ascii="黑体" w:eastAsia="黑体"/>
          <w:b/>
          <w:sz w:val="28"/>
          <w:szCs w:val="28"/>
        </w:rPr>
        <w:t>五、政府性基金预算财政拨款支出决算情况说明</w:t>
      </w:r>
      <w:r>
        <w:rPr>
          <w:rFonts w:hint="eastAsia" w:ascii="黑体" w:eastAsia="黑体"/>
          <w:b/>
          <w:sz w:val="28"/>
          <w:szCs w:val="28"/>
          <w:lang w:eastAsia="zh-CN"/>
        </w:rPr>
        <w:t>（不涉及）</w:t>
      </w:r>
    </w:p>
    <w:p w14:paraId="6D01D044">
      <w:pPr>
        <w:spacing w:line="580" w:lineRule="exact"/>
        <w:ind w:firstLine="560" w:firstLineChars="200"/>
        <w:rPr>
          <w:rFonts w:hint="eastAsia" w:ascii="黑体" w:eastAsia="黑体"/>
          <w:b/>
          <w:sz w:val="28"/>
          <w:szCs w:val="28"/>
        </w:rPr>
      </w:pPr>
      <w:r>
        <w:rPr>
          <w:rFonts w:hint="eastAsia" w:ascii="黑体" w:eastAsia="黑体"/>
          <w:b/>
          <w:sz w:val="28"/>
          <w:szCs w:val="28"/>
        </w:rPr>
        <w:t>六、国有资本经营预算财</w:t>
      </w:r>
      <w:r>
        <w:rPr>
          <w:rFonts w:ascii="黑体" w:eastAsia="黑体"/>
          <w:b/>
          <w:sz w:val="28"/>
          <w:szCs w:val="28"/>
        </w:rPr>
        <w:t>政拨款</w:t>
      </w:r>
      <w:r>
        <w:rPr>
          <w:rFonts w:hint="eastAsia" w:ascii="黑体" w:eastAsia="黑体"/>
          <w:b/>
          <w:sz w:val="28"/>
          <w:szCs w:val="28"/>
        </w:rPr>
        <w:t>收支情况</w:t>
      </w:r>
    </w:p>
    <w:p w14:paraId="6011EE4B">
      <w:pPr>
        <w:ind w:firstLine="537" w:firstLineChars="192"/>
        <w:rPr>
          <w:rFonts w:ascii="仿宋_GB2312" w:eastAsia="仿宋_GB2312"/>
          <w:sz w:val="28"/>
          <w:szCs w:val="28"/>
        </w:rPr>
      </w:pPr>
      <w:r>
        <w:rPr>
          <w:rFonts w:hint="eastAsia" w:ascii="仿宋_GB2312" w:eastAsia="仿宋_GB2312"/>
          <w:sz w:val="28"/>
          <w:szCs w:val="28"/>
        </w:rPr>
        <w:t>202</w:t>
      </w:r>
      <w:r>
        <w:rPr>
          <w:rFonts w:hint="eastAsia" w:ascii="仿宋_GB2312" w:eastAsia="仿宋_GB2312"/>
          <w:sz w:val="28"/>
          <w:szCs w:val="28"/>
          <w:lang w:val="en-US" w:eastAsia="zh-CN"/>
        </w:rPr>
        <w:t>4</w:t>
      </w:r>
      <w:r>
        <w:rPr>
          <w:rFonts w:hint="eastAsia" w:ascii="仿宋_GB2312" w:eastAsia="仿宋_GB2312"/>
          <w:sz w:val="28"/>
          <w:szCs w:val="28"/>
        </w:rPr>
        <w:t>年度国有资本经营预算财政</w:t>
      </w:r>
      <w:r>
        <w:rPr>
          <w:rFonts w:ascii="仿宋_GB2312" w:eastAsia="仿宋_GB2312"/>
          <w:sz w:val="28"/>
          <w:szCs w:val="28"/>
        </w:rPr>
        <w:t>拨款</w:t>
      </w:r>
      <w:r>
        <w:rPr>
          <w:rFonts w:hint="eastAsia" w:ascii="仿宋_GB2312" w:eastAsia="仿宋_GB2312"/>
          <w:sz w:val="28"/>
          <w:szCs w:val="28"/>
        </w:rPr>
        <w:t>收入总</w:t>
      </w:r>
      <w:r>
        <w:rPr>
          <w:rFonts w:ascii="仿宋_GB2312" w:eastAsia="仿宋_GB2312"/>
          <w:sz w:val="28"/>
          <w:szCs w:val="28"/>
        </w:rPr>
        <w:t>计</w:t>
      </w:r>
      <w:r>
        <w:rPr>
          <w:rFonts w:hint="eastAsia" w:ascii="仿宋_GB2312" w:eastAsia="仿宋_GB2312"/>
          <w:sz w:val="28"/>
          <w:szCs w:val="28"/>
          <w:lang w:val="en-US" w:eastAsia="zh-CN"/>
        </w:rPr>
        <w:t>12509.15</w:t>
      </w:r>
      <w:r>
        <w:rPr>
          <w:rFonts w:hint="eastAsia" w:ascii="仿宋_GB2312" w:eastAsia="仿宋_GB2312"/>
          <w:sz w:val="28"/>
          <w:szCs w:val="28"/>
        </w:rPr>
        <w:t>万元，国有资本经营预算财政</w:t>
      </w:r>
      <w:r>
        <w:rPr>
          <w:rFonts w:ascii="仿宋_GB2312" w:eastAsia="仿宋_GB2312"/>
          <w:sz w:val="28"/>
          <w:szCs w:val="28"/>
        </w:rPr>
        <w:t>拨款</w:t>
      </w:r>
      <w:r>
        <w:rPr>
          <w:rFonts w:hint="eastAsia" w:ascii="仿宋_GB2312" w:eastAsia="仿宋_GB2312"/>
          <w:sz w:val="28"/>
          <w:szCs w:val="28"/>
        </w:rPr>
        <w:t>支出总</w:t>
      </w:r>
      <w:r>
        <w:rPr>
          <w:rFonts w:ascii="仿宋_GB2312" w:eastAsia="仿宋_GB2312"/>
          <w:sz w:val="28"/>
          <w:szCs w:val="28"/>
        </w:rPr>
        <w:t>计</w:t>
      </w:r>
      <w:r>
        <w:rPr>
          <w:rFonts w:hint="eastAsia" w:ascii="仿宋_GB2312" w:eastAsia="仿宋_GB2312"/>
          <w:sz w:val="28"/>
          <w:szCs w:val="28"/>
          <w:lang w:val="en-US" w:eastAsia="zh-CN"/>
        </w:rPr>
        <w:t>12509.15</w:t>
      </w:r>
      <w:r>
        <w:rPr>
          <w:rFonts w:hint="eastAsia" w:ascii="仿宋_GB2312" w:eastAsia="仿宋_GB2312"/>
          <w:sz w:val="28"/>
          <w:szCs w:val="28"/>
        </w:rPr>
        <w:t>万元。</w:t>
      </w:r>
    </w:p>
    <w:p w14:paraId="5C9ACB9C">
      <w:pPr>
        <w:spacing w:line="580" w:lineRule="exact"/>
        <w:ind w:firstLine="548" w:firstLineChars="196"/>
        <w:rPr>
          <w:rFonts w:hint="eastAsia" w:ascii="黑体" w:eastAsia="黑体"/>
          <w:sz w:val="28"/>
          <w:szCs w:val="28"/>
          <w:lang w:eastAsia="zh-CN"/>
        </w:rPr>
      </w:pPr>
      <w:r>
        <w:rPr>
          <w:rFonts w:hint="eastAsia" w:ascii="黑体" w:eastAsia="黑体"/>
          <w:b/>
          <w:sz w:val="28"/>
          <w:szCs w:val="28"/>
        </w:rPr>
        <w:t>七、财政拨款基本支出决算情况说明</w:t>
      </w:r>
      <w:r>
        <w:rPr>
          <w:rFonts w:hint="eastAsia" w:ascii="黑体" w:eastAsia="黑体"/>
          <w:b/>
          <w:sz w:val="28"/>
          <w:szCs w:val="28"/>
          <w:lang w:eastAsia="zh-CN"/>
        </w:rPr>
        <w:t>（不涉及）</w:t>
      </w:r>
    </w:p>
    <w:p w14:paraId="6527E68E">
      <w:pPr>
        <w:autoSpaceDE w:val="0"/>
        <w:autoSpaceDN w:val="0"/>
        <w:adjustRightInd w:val="0"/>
        <w:spacing w:line="580" w:lineRule="exact"/>
        <w:jc w:val="both"/>
        <w:rPr>
          <w:rFonts w:hint="eastAsia" w:ascii="宋体" w:hAnsi="宋体"/>
          <w:b/>
          <w:spacing w:val="40"/>
          <w:sz w:val="32"/>
          <w:szCs w:val="32"/>
        </w:rPr>
      </w:pPr>
      <w:r>
        <w:rPr>
          <w:rFonts w:ascii="仿宋_GB2312" w:eastAsia="仿宋_GB2312"/>
          <w:b/>
          <w:sz w:val="32"/>
          <w:szCs w:val="32"/>
        </w:rPr>
        <w:tab/>
      </w:r>
    </w:p>
    <w:p w14:paraId="3DD7C368">
      <w:pPr>
        <w:tabs>
          <w:tab w:val="center" w:pos="6979"/>
        </w:tabs>
        <w:jc w:val="center"/>
        <w:rPr>
          <w:rFonts w:hint="eastAsia" w:ascii="宋体" w:hAnsi="宋体" w:eastAsia="宋体" w:cs="宋体"/>
          <w:b/>
          <w:spacing w:val="40"/>
          <w:kern w:val="0"/>
          <w:sz w:val="32"/>
          <w:szCs w:val="32"/>
          <w:lang w:eastAsia="zh-CN"/>
        </w:rPr>
      </w:pPr>
      <w:r>
        <w:rPr>
          <w:rFonts w:hint="eastAsia" w:ascii="宋体" w:hAnsi="宋体" w:cs="宋体"/>
          <w:b/>
          <w:bCs/>
          <w:spacing w:val="40"/>
          <w:kern w:val="0"/>
          <w:sz w:val="32"/>
          <w:szCs w:val="32"/>
        </w:rPr>
        <w:t>第三部分</w:t>
      </w:r>
      <w:r>
        <w:rPr>
          <w:rFonts w:hint="eastAsia" w:ascii="宋体" w:hAnsi="宋体"/>
          <w:b/>
          <w:spacing w:val="40"/>
          <w:sz w:val="32"/>
          <w:szCs w:val="32"/>
        </w:rPr>
        <w:t>202</w:t>
      </w:r>
      <w:r>
        <w:rPr>
          <w:rFonts w:hint="eastAsia" w:ascii="宋体" w:hAnsi="宋体"/>
          <w:b/>
          <w:spacing w:val="40"/>
          <w:sz w:val="32"/>
          <w:szCs w:val="32"/>
          <w:lang w:val="en-US" w:eastAsia="zh-CN"/>
        </w:rPr>
        <w:t>4</w:t>
      </w:r>
      <w:r>
        <w:rPr>
          <w:rFonts w:hint="eastAsia" w:ascii="宋体" w:hAnsi="宋体"/>
          <w:b/>
          <w:spacing w:val="40"/>
          <w:sz w:val="32"/>
          <w:szCs w:val="32"/>
        </w:rPr>
        <w:t>年度</w:t>
      </w:r>
      <w:r>
        <w:rPr>
          <w:rFonts w:hint="eastAsia" w:ascii="宋体" w:hAnsi="宋体" w:cs="宋体"/>
          <w:b/>
          <w:spacing w:val="40"/>
          <w:kern w:val="0"/>
          <w:sz w:val="32"/>
          <w:szCs w:val="32"/>
        </w:rPr>
        <w:t>其他重要事项的情况说明</w:t>
      </w:r>
      <w:r>
        <w:rPr>
          <w:rFonts w:hint="eastAsia" w:ascii="宋体" w:hAnsi="宋体" w:cs="宋体"/>
          <w:b/>
          <w:spacing w:val="40"/>
          <w:kern w:val="0"/>
          <w:sz w:val="32"/>
          <w:szCs w:val="32"/>
          <w:lang w:eastAsia="zh-CN"/>
        </w:rPr>
        <w:t>（不涉及）</w:t>
      </w:r>
    </w:p>
    <w:p w14:paraId="1C643EDA">
      <w:pPr>
        <w:spacing w:line="560" w:lineRule="exact"/>
        <w:ind w:firstLine="560" w:firstLineChars="200"/>
        <w:rPr>
          <w:rFonts w:hint="eastAsia" w:ascii="黑体" w:eastAsia="黑体"/>
          <w:sz w:val="28"/>
          <w:szCs w:val="28"/>
        </w:rPr>
      </w:pPr>
      <w:r>
        <w:rPr>
          <w:rFonts w:hint="eastAsia" w:ascii="黑体" w:eastAsia="黑体"/>
          <w:sz w:val="28"/>
          <w:szCs w:val="28"/>
        </w:rPr>
        <w:t>一、“三公”经费财政拨款决算情况</w:t>
      </w:r>
    </w:p>
    <w:p w14:paraId="67631D9C">
      <w:pPr>
        <w:tabs>
          <w:tab w:val="center" w:pos="6979"/>
        </w:tabs>
        <w:ind w:firstLine="554" w:firstLineChars="198"/>
        <w:rPr>
          <w:rFonts w:hint="eastAsia" w:ascii="黑体" w:eastAsia="黑体"/>
          <w:sz w:val="28"/>
          <w:szCs w:val="28"/>
        </w:rPr>
      </w:pPr>
      <w:r>
        <w:rPr>
          <w:rFonts w:hint="eastAsia" w:ascii="黑体" w:eastAsia="黑体"/>
          <w:sz w:val="28"/>
          <w:szCs w:val="28"/>
        </w:rPr>
        <w:t>二、机关运行经费支出情况</w:t>
      </w:r>
    </w:p>
    <w:p w14:paraId="5E39AD8C">
      <w:pPr>
        <w:ind w:left="540"/>
        <w:rPr>
          <w:rFonts w:hint="eastAsia" w:ascii="黑体" w:eastAsia="黑体"/>
          <w:sz w:val="28"/>
          <w:szCs w:val="28"/>
        </w:rPr>
      </w:pPr>
      <w:r>
        <w:rPr>
          <w:rFonts w:hint="eastAsia" w:ascii="黑体" w:eastAsia="黑体"/>
          <w:sz w:val="28"/>
          <w:szCs w:val="28"/>
        </w:rPr>
        <w:t>三、政府采购支出情况</w:t>
      </w:r>
    </w:p>
    <w:p w14:paraId="2C3321EC">
      <w:pPr>
        <w:ind w:firstLine="560" w:firstLineChars="200"/>
        <w:rPr>
          <w:rFonts w:hint="eastAsia" w:ascii="黑体" w:eastAsia="黑体"/>
          <w:sz w:val="28"/>
          <w:szCs w:val="28"/>
          <w:highlight w:val="yellow"/>
        </w:rPr>
      </w:pPr>
      <w:r>
        <w:rPr>
          <w:rFonts w:hint="eastAsia" w:ascii="黑体" w:eastAsia="黑体"/>
          <w:sz w:val="28"/>
          <w:szCs w:val="28"/>
          <w:highlight w:val="none"/>
        </w:rPr>
        <w:t>四、国有资产占用情况</w:t>
      </w:r>
    </w:p>
    <w:p w14:paraId="1A6D7C38">
      <w:pPr>
        <w:ind w:firstLine="537" w:firstLineChars="192"/>
        <w:rPr>
          <w:rFonts w:ascii="黑体" w:eastAsia="黑体"/>
          <w:sz w:val="28"/>
          <w:szCs w:val="28"/>
        </w:rPr>
      </w:pPr>
      <w:r>
        <w:rPr>
          <w:rFonts w:hint="eastAsia" w:ascii="黑体" w:eastAsia="黑体"/>
          <w:sz w:val="28"/>
          <w:szCs w:val="28"/>
        </w:rPr>
        <w:t>五</w:t>
      </w:r>
      <w:r>
        <w:rPr>
          <w:rFonts w:ascii="黑体" w:eastAsia="黑体"/>
          <w:sz w:val="28"/>
          <w:szCs w:val="28"/>
        </w:rPr>
        <w:t>、政府购买服务</w:t>
      </w:r>
      <w:r>
        <w:rPr>
          <w:rFonts w:hint="eastAsia" w:ascii="黑体" w:eastAsia="黑体"/>
          <w:sz w:val="28"/>
          <w:szCs w:val="28"/>
        </w:rPr>
        <w:t>支出</w:t>
      </w:r>
      <w:r>
        <w:rPr>
          <w:rFonts w:ascii="黑体" w:eastAsia="黑体"/>
          <w:sz w:val="28"/>
          <w:szCs w:val="28"/>
        </w:rPr>
        <w:t>说明</w:t>
      </w:r>
    </w:p>
    <w:p w14:paraId="2ACE08BE">
      <w:pPr>
        <w:ind w:firstLine="560" w:firstLineChars="200"/>
        <w:jc w:val="left"/>
        <w:rPr>
          <w:rFonts w:hint="eastAsia" w:ascii="仿宋_GB2312" w:eastAsia="仿宋_GB2312"/>
          <w:color w:val="000000"/>
          <w:sz w:val="32"/>
          <w:szCs w:val="32"/>
        </w:rPr>
      </w:pPr>
      <w:r>
        <w:rPr>
          <w:rFonts w:hint="eastAsia" w:ascii="黑体" w:eastAsia="黑体"/>
          <w:sz w:val="28"/>
          <w:szCs w:val="28"/>
        </w:rPr>
        <w:t>六、</w:t>
      </w:r>
      <w:r>
        <w:rPr>
          <w:rFonts w:ascii="黑体" w:eastAsia="黑体"/>
          <w:sz w:val="28"/>
          <w:szCs w:val="28"/>
        </w:rPr>
        <w:t>专业名词解释</w:t>
      </w:r>
    </w:p>
    <w:p w14:paraId="499E9421">
      <w:pPr>
        <w:jc w:val="both"/>
        <w:rPr>
          <w:rFonts w:hint="eastAsia" w:ascii="黑体" w:eastAsia="黑体"/>
          <w:sz w:val="32"/>
          <w:szCs w:val="32"/>
        </w:rPr>
      </w:pPr>
    </w:p>
    <w:p w14:paraId="59792254">
      <w:pPr>
        <w:tabs>
          <w:tab w:val="center" w:pos="6979"/>
        </w:tabs>
        <w:spacing w:line="380" w:lineRule="exact"/>
        <w:jc w:val="center"/>
        <w:rPr>
          <w:rFonts w:ascii="宋体" w:hAnsi="宋体" w:cs="宋体"/>
          <w:b/>
          <w:bCs/>
          <w:kern w:val="0"/>
          <w:sz w:val="28"/>
          <w:szCs w:val="28"/>
        </w:rPr>
      </w:pPr>
    </w:p>
    <w:p w14:paraId="07FC1EB1">
      <w:pPr>
        <w:tabs>
          <w:tab w:val="center" w:pos="6979"/>
        </w:tabs>
        <w:spacing w:line="380" w:lineRule="exact"/>
        <w:jc w:val="center"/>
        <w:rPr>
          <w:rFonts w:ascii="宋体" w:hAnsi="宋体" w:cs="宋体"/>
          <w:b/>
          <w:bCs/>
          <w:kern w:val="0"/>
          <w:sz w:val="28"/>
          <w:szCs w:val="28"/>
        </w:rPr>
      </w:pPr>
    </w:p>
    <w:p w14:paraId="5B0F8CDF">
      <w:pPr>
        <w:jc w:val="both"/>
        <w:rPr>
          <w:rFonts w:hint="eastAsia" w:ascii="黑体" w:eastAsia="黑体"/>
          <w:sz w:val="32"/>
          <w:szCs w:val="32"/>
        </w:rPr>
      </w:pPr>
    </w:p>
    <w:p w14:paraId="0CA63AD2">
      <w:pPr>
        <w:ind w:firstLine="640" w:firstLineChars="200"/>
        <w:jc w:val="center"/>
        <w:rPr>
          <w:rFonts w:hint="eastAsia" w:ascii="黑体" w:eastAsia="黑体"/>
          <w:sz w:val="32"/>
          <w:szCs w:val="32"/>
        </w:rPr>
      </w:pPr>
    </w:p>
    <w:p w14:paraId="2F4E6889">
      <w:pPr>
        <w:ind w:firstLine="640" w:firstLineChars="200"/>
        <w:jc w:val="center"/>
        <w:rPr>
          <w:rFonts w:hint="eastAsia" w:ascii="黑体" w:eastAsia="黑体"/>
          <w:sz w:val="32"/>
          <w:szCs w:val="32"/>
          <w:lang w:eastAsia="zh-CN"/>
        </w:rPr>
      </w:pPr>
      <w:r>
        <w:rPr>
          <w:rFonts w:hint="eastAsia" w:ascii="黑体" w:eastAsia="黑体"/>
          <w:sz w:val="32"/>
          <w:szCs w:val="32"/>
        </w:rPr>
        <w:t>第四部分  202</w:t>
      </w:r>
      <w:r>
        <w:rPr>
          <w:rFonts w:hint="eastAsia" w:ascii="黑体" w:eastAsia="黑体"/>
          <w:sz w:val="32"/>
          <w:szCs w:val="32"/>
          <w:lang w:val="en-US" w:eastAsia="zh-CN"/>
        </w:rPr>
        <w:t>4</w:t>
      </w:r>
      <w:r>
        <w:rPr>
          <w:rFonts w:hint="eastAsia" w:ascii="黑体" w:eastAsia="黑体"/>
          <w:sz w:val="32"/>
          <w:szCs w:val="32"/>
        </w:rPr>
        <w:t>年度部门绩效评价情况</w:t>
      </w:r>
    </w:p>
    <w:p w14:paraId="737FCC33">
      <w:pPr>
        <w:ind w:firstLine="560" w:firstLineChars="200"/>
        <w:rPr>
          <w:rFonts w:hint="eastAsia" w:ascii="黑体" w:eastAsia="黑体"/>
          <w:sz w:val="28"/>
          <w:szCs w:val="28"/>
          <w:highlight w:val="yellow"/>
        </w:rPr>
      </w:pPr>
    </w:p>
    <w:p w14:paraId="2379136C">
      <w:pPr>
        <w:numPr>
          <w:ilvl w:val="0"/>
          <w:numId w:val="1"/>
        </w:numPr>
        <w:ind w:firstLine="560" w:firstLineChars="200"/>
        <w:rPr>
          <w:rFonts w:hint="eastAsia" w:ascii="黑体" w:eastAsia="黑体"/>
          <w:sz w:val="28"/>
          <w:szCs w:val="28"/>
          <w:lang w:eastAsia="zh-CN"/>
        </w:rPr>
      </w:pPr>
      <w:r>
        <w:rPr>
          <w:rFonts w:hint="eastAsia" w:ascii="黑体" w:eastAsia="黑体"/>
          <w:sz w:val="28"/>
          <w:szCs w:val="28"/>
          <w:highlight w:val="none"/>
        </w:rPr>
        <w:t>部门整体绩效评价报告</w:t>
      </w:r>
      <w:r>
        <w:rPr>
          <w:rFonts w:hint="eastAsia" w:ascii="黑体" w:eastAsia="黑体"/>
          <w:sz w:val="28"/>
          <w:szCs w:val="28"/>
          <w:lang w:eastAsia="zh-CN"/>
        </w:rPr>
        <w:t>（见附件）</w:t>
      </w:r>
    </w:p>
    <w:p w14:paraId="2AE0AA17">
      <w:pPr>
        <w:numPr>
          <w:ilvl w:val="0"/>
          <w:numId w:val="1"/>
        </w:numPr>
        <w:ind w:firstLine="560" w:firstLineChars="200"/>
        <w:rPr>
          <w:rFonts w:hint="eastAsia" w:ascii="黑体" w:eastAsia="黑体"/>
          <w:sz w:val="28"/>
          <w:szCs w:val="28"/>
          <w:lang w:eastAsia="zh-CN"/>
        </w:rPr>
      </w:pPr>
      <w:r>
        <w:rPr>
          <w:rFonts w:hint="eastAsia" w:ascii="黑体" w:eastAsia="黑体"/>
          <w:sz w:val="28"/>
          <w:szCs w:val="28"/>
        </w:rPr>
        <w:t>项目支出绩效评价报告</w:t>
      </w:r>
      <w:r>
        <w:rPr>
          <w:rFonts w:hint="eastAsia" w:ascii="黑体" w:eastAsia="黑体"/>
          <w:sz w:val="28"/>
          <w:szCs w:val="28"/>
          <w:lang w:eastAsia="zh-CN"/>
        </w:rPr>
        <w:t>（见附件）</w:t>
      </w:r>
    </w:p>
    <w:p w14:paraId="06A030CC">
      <w:pPr>
        <w:numPr>
          <w:ilvl w:val="0"/>
          <w:numId w:val="1"/>
        </w:numPr>
        <w:ind w:firstLine="560" w:firstLineChars="200"/>
        <w:rPr>
          <w:rFonts w:ascii="黑体" w:eastAsia="黑体"/>
          <w:sz w:val="28"/>
          <w:szCs w:val="28"/>
        </w:rPr>
      </w:pPr>
      <w:r>
        <w:rPr>
          <w:rFonts w:hint="eastAsia" w:ascii="黑体" w:eastAsia="黑体"/>
          <w:sz w:val="28"/>
          <w:szCs w:val="28"/>
        </w:rPr>
        <w:t>项目</w:t>
      </w:r>
      <w:r>
        <w:rPr>
          <w:rFonts w:ascii="黑体" w:eastAsia="黑体"/>
          <w:sz w:val="28"/>
          <w:szCs w:val="28"/>
        </w:rPr>
        <w:t>支出绩效自评表</w:t>
      </w:r>
      <w:r>
        <w:rPr>
          <w:rFonts w:hint="eastAsia" w:ascii="黑体" w:eastAsia="黑体"/>
          <w:sz w:val="28"/>
          <w:szCs w:val="28"/>
          <w:lang w:eastAsia="zh-CN"/>
        </w:rPr>
        <w:t>（见附件）</w:t>
      </w:r>
    </w:p>
    <w:p w14:paraId="08DDD0BF">
      <w:pPr>
        <w:numPr>
          <w:ilvl w:val="0"/>
          <w:numId w:val="1"/>
        </w:numPr>
        <w:ind w:firstLine="560" w:firstLineChars="200"/>
        <w:rPr>
          <w:rFonts w:hint="eastAsia" w:ascii="黑体" w:eastAsia="黑体"/>
          <w:sz w:val="28"/>
          <w:szCs w:val="28"/>
          <w:lang w:eastAsia="zh-CN"/>
        </w:rPr>
      </w:pPr>
      <w:r>
        <w:rPr>
          <w:rFonts w:hint="eastAsia" w:ascii="黑体" w:hAnsi="Times New Roman" w:eastAsia="黑体" w:cs="Times New Roman"/>
          <w:sz w:val="28"/>
          <w:szCs w:val="28"/>
          <w:lang w:val="en-US" w:eastAsia="zh-CN"/>
        </w:rPr>
        <w:t>中央对北京XX转移支付预算执行情况绩效自评报告</w:t>
      </w:r>
      <w:r>
        <w:rPr>
          <w:rFonts w:hint="eastAsia" w:ascii="黑体" w:eastAsia="黑体"/>
          <w:sz w:val="28"/>
          <w:szCs w:val="28"/>
          <w:lang w:eastAsia="zh-CN"/>
        </w:rPr>
        <w:t>（不涉及）</w:t>
      </w:r>
    </w:p>
    <w:p w14:paraId="7B3A40B9">
      <w:pPr>
        <w:spacing w:line="480" w:lineRule="exact"/>
        <w:rPr>
          <w:rFonts w:hint="eastAsia" w:ascii="仿宋_GB2312" w:hAnsi="仿宋_GB2312" w:eastAsia="仿宋_GB2312" w:cs="仿宋_GB2312"/>
          <w:sz w:val="32"/>
          <w:szCs w:val="32"/>
        </w:rPr>
      </w:pPr>
    </w:p>
    <w:p w14:paraId="267152AD">
      <w:pPr>
        <w:spacing w:line="480" w:lineRule="exact"/>
      </w:pPr>
    </w:p>
    <w:sectPr>
      <w:footerReference r:id="rId4" w:type="default"/>
      <w:footerReference r:id="rId5" w:type="even"/>
      <w:pgSz w:w="16838" w:h="11906" w:orient="landscape"/>
      <w:pgMar w:top="1134" w:right="1134" w:bottom="1134" w:left="1134"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DejaVu Sans">
    <w:panose1 w:val="020B0603030804020204"/>
    <w:charset w:val="00"/>
    <w:family w:val="auto"/>
    <w:pitch w:val="default"/>
    <w:sig w:usb0="E7006EFF" w:usb1="D200FDFF" w:usb2="0A246029" w:usb3="0400200C" w:csb0="600001FF" w:csb1="DFFF0000"/>
  </w:font>
  <w:font w:name="Calibri">
    <w:altName w:val="DejaVu Sans"/>
    <w:panose1 w:val="020F0502020204030204"/>
    <w:charset w:val="00"/>
    <w:family w:val="swiss"/>
    <w:pitch w:val="default"/>
    <w:sig w:usb0="00000000" w:usb1="00000000" w:usb2="00000001" w:usb3="00000000" w:csb0="0000019F" w:csb1="00000000"/>
  </w:font>
  <w:font w:name="方正书宋_GBK">
    <w:panose1 w:val="02000000000000000000"/>
    <w:charset w:val="86"/>
    <w:family w:val="auto"/>
    <w:pitch w:val="default"/>
    <w:sig w:usb0="00000001" w:usb1="08000000" w:usb2="00000000" w:usb3="00000000" w:csb0="00040000" w:csb1="00000000"/>
  </w:font>
  <w:font w:name="Cambria">
    <w:altName w:val="Noto Sans Syriac Eastern"/>
    <w:panose1 w:val="02040503050406030204"/>
    <w:charset w:val="00"/>
    <w:family w:val="roman"/>
    <w:pitch w:val="default"/>
    <w:sig w:usb0="00000000" w:usb1="00000000" w:usb2="02000000" w:usb3="00000000" w:csb0="2000019F" w:csb1="00000000"/>
  </w:font>
  <w:font w:name="Noto Sans Syriac Eastern">
    <w:panose1 w:val="02040503050306020203"/>
    <w:charset w:val="86"/>
    <w:family w:val="auto"/>
    <w:pitch w:val="default"/>
    <w:sig w:usb0="00000000" w:usb1="00000000" w:usb2="00000080" w:usb3="00000000" w:csb0="203E0161" w:csb1="D7FF0000"/>
  </w:font>
  <w:font w:name="方正黑体_GBK">
    <w:panose1 w:val="02000000000000000000"/>
    <w:charset w:val="86"/>
    <w:family w:val="auto"/>
    <w:pitch w:val="default"/>
    <w:sig w:usb0="00000001" w:usb1="08000000" w:usb2="00000000" w:usb3="00000000" w:csb0="00040000" w:csb1="00000000"/>
  </w:font>
  <w:font w:name="仿宋_GB2312">
    <w:altName w:val="方正仿宋_GBK"/>
    <w:panose1 w:val="02010609030101010101"/>
    <w:charset w:val="86"/>
    <w:family w:val="auto"/>
    <w:pitch w:val="default"/>
    <w:sig w:usb0="00000000" w:usb1="00000000" w:usb2="00000000" w:usb3="00000000" w:csb0="00040000" w:csb1="00000000"/>
  </w:font>
  <w:font w:name="方正仿宋_GBK">
    <w:panose1 w:val="02000000000000000000"/>
    <w:charset w:val="86"/>
    <w:family w:val="auto"/>
    <w:pitch w:val="default"/>
    <w:sig w:usb0="00000001" w:usb1="08000000" w:usb2="00000000" w:usb3="00000000" w:csb0="00040000" w:csb1="00000000"/>
  </w:font>
  <w:font w:name="Tahoma">
    <w:altName w:val="noto sans thai"/>
    <w:panose1 w:val="020B0604030504040204"/>
    <w:charset w:val="00"/>
    <w:family w:val="swiss"/>
    <w:pitch w:val="default"/>
    <w:sig w:usb0="00000000" w:usb1="00000000" w:usb2="00000029" w:usb3="00000000" w:csb0="200101FF" w:csb1="20280000"/>
  </w:font>
  <w:font w:name="noto sans thai">
    <w:panose1 w:val="020B0502040504020204"/>
    <w:charset w:val="00"/>
    <w:family w:val="auto"/>
    <w:pitch w:val="default"/>
    <w:sig w:usb0="81000063" w:usb1="00002000" w:usb2="00000000" w:usb3="00000000" w:csb0="00010000" w:csb1="00000000"/>
  </w:font>
  <w:font w:name="仿宋">
    <w:altName w:val="方正仿宋_GBK"/>
    <w:panose1 w:val="02010609060101010101"/>
    <w:charset w:val="86"/>
    <w:family w:val="modern"/>
    <w:pitch w:val="default"/>
    <w:sig w:usb0="00000000" w:usb1="0000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4B1857">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3</w:t>
    </w:r>
    <w:r>
      <w:fldChar w:fldCharType="end"/>
    </w:r>
  </w:p>
  <w:p w14:paraId="2A1A9EE6">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64BDE9">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5</w:t>
    </w:r>
    <w:r>
      <w:fldChar w:fldCharType="end"/>
    </w:r>
  </w:p>
  <w:p w14:paraId="4911DBFD">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B4C1B8">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15</w:t>
    </w:r>
    <w:r>
      <w:fldChar w:fldCharType="end"/>
    </w:r>
  </w:p>
  <w:p w14:paraId="1FB464F1">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7E84BE"/>
    <w:multiLevelType w:val="singleLevel"/>
    <w:tmpl w:val="8D7E84BE"/>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4"/>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ZmNWE4NzRhMTczNjJlZDE5ZTE5YTczN2QxMzcyMjAifQ=="/>
  </w:docVars>
  <w:rsids>
    <w:rsidRoot w:val="00100246"/>
    <w:rsid w:val="00003B03"/>
    <w:rsid w:val="000040E6"/>
    <w:rsid w:val="00011D72"/>
    <w:rsid w:val="00027CD5"/>
    <w:rsid w:val="00031B8E"/>
    <w:rsid w:val="00033EC1"/>
    <w:rsid w:val="00034224"/>
    <w:rsid w:val="00040275"/>
    <w:rsid w:val="0004719C"/>
    <w:rsid w:val="00047F6E"/>
    <w:rsid w:val="00051B00"/>
    <w:rsid w:val="000601B1"/>
    <w:rsid w:val="00063034"/>
    <w:rsid w:val="00066E19"/>
    <w:rsid w:val="0006752F"/>
    <w:rsid w:val="00071797"/>
    <w:rsid w:val="00071860"/>
    <w:rsid w:val="0007258E"/>
    <w:rsid w:val="00077A9E"/>
    <w:rsid w:val="00077F4A"/>
    <w:rsid w:val="00077FE5"/>
    <w:rsid w:val="00080447"/>
    <w:rsid w:val="00085663"/>
    <w:rsid w:val="00095948"/>
    <w:rsid w:val="00095C26"/>
    <w:rsid w:val="00096504"/>
    <w:rsid w:val="00096B86"/>
    <w:rsid w:val="000A1770"/>
    <w:rsid w:val="000A283C"/>
    <w:rsid w:val="000B15B7"/>
    <w:rsid w:val="000B70F1"/>
    <w:rsid w:val="000C4611"/>
    <w:rsid w:val="000D1B61"/>
    <w:rsid w:val="000D6854"/>
    <w:rsid w:val="000E0B26"/>
    <w:rsid w:val="000E3291"/>
    <w:rsid w:val="000F08FE"/>
    <w:rsid w:val="000F208B"/>
    <w:rsid w:val="000F2A48"/>
    <w:rsid w:val="000F49BE"/>
    <w:rsid w:val="00100246"/>
    <w:rsid w:val="0010682D"/>
    <w:rsid w:val="001073C6"/>
    <w:rsid w:val="00107DB5"/>
    <w:rsid w:val="00113613"/>
    <w:rsid w:val="0011483D"/>
    <w:rsid w:val="00115724"/>
    <w:rsid w:val="00130995"/>
    <w:rsid w:val="00131FF9"/>
    <w:rsid w:val="00132320"/>
    <w:rsid w:val="00135B6A"/>
    <w:rsid w:val="001369A7"/>
    <w:rsid w:val="001428C5"/>
    <w:rsid w:val="001503D8"/>
    <w:rsid w:val="00157540"/>
    <w:rsid w:val="0017111F"/>
    <w:rsid w:val="00173CF6"/>
    <w:rsid w:val="00180DAD"/>
    <w:rsid w:val="0018370E"/>
    <w:rsid w:val="001852E1"/>
    <w:rsid w:val="00191568"/>
    <w:rsid w:val="001A4277"/>
    <w:rsid w:val="001A7D2E"/>
    <w:rsid w:val="001B1DF9"/>
    <w:rsid w:val="001B1E93"/>
    <w:rsid w:val="001B375E"/>
    <w:rsid w:val="001B4A46"/>
    <w:rsid w:val="001B5E87"/>
    <w:rsid w:val="001B5E91"/>
    <w:rsid w:val="001B69BF"/>
    <w:rsid w:val="001B7988"/>
    <w:rsid w:val="001D78D9"/>
    <w:rsid w:val="001E0556"/>
    <w:rsid w:val="001E2355"/>
    <w:rsid w:val="001E2379"/>
    <w:rsid w:val="001E29A9"/>
    <w:rsid w:val="001F5857"/>
    <w:rsid w:val="00206EC3"/>
    <w:rsid w:val="0021047C"/>
    <w:rsid w:val="00211E4E"/>
    <w:rsid w:val="00213D1C"/>
    <w:rsid w:val="00214C3A"/>
    <w:rsid w:val="00217517"/>
    <w:rsid w:val="00222628"/>
    <w:rsid w:val="002253CB"/>
    <w:rsid w:val="002267A6"/>
    <w:rsid w:val="002326DE"/>
    <w:rsid w:val="00234314"/>
    <w:rsid w:val="00241724"/>
    <w:rsid w:val="0024390C"/>
    <w:rsid w:val="002441F4"/>
    <w:rsid w:val="00244204"/>
    <w:rsid w:val="002448A4"/>
    <w:rsid w:val="00245A0A"/>
    <w:rsid w:val="00246C42"/>
    <w:rsid w:val="002515CC"/>
    <w:rsid w:val="00253EC4"/>
    <w:rsid w:val="00254515"/>
    <w:rsid w:val="0026479D"/>
    <w:rsid w:val="002673C4"/>
    <w:rsid w:val="0027112B"/>
    <w:rsid w:val="00271C3F"/>
    <w:rsid w:val="00272460"/>
    <w:rsid w:val="00273070"/>
    <w:rsid w:val="0027394A"/>
    <w:rsid w:val="00274D50"/>
    <w:rsid w:val="002760D5"/>
    <w:rsid w:val="00276289"/>
    <w:rsid w:val="0028081D"/>
    <w:rsid w:val="0028458C"/>
    <w:rsid w:val="002911BD"/>
    <w:rsid w:val="00291C98"/>
    <w:rsid w:val="00294DE9"/>
    <w:rsid w:val="002A1488"/>
    <w:rsid w:val="002A4C2B"/>
    <w:rsid w:val="002B19D0"/>
    <w:rsid w:val="002B3682"/>
    <w:rsid w:val="002B5464"/>
    <w:rsid w:val="002C0443"/>
    <w:rsid w:val="002C12FB"/>
    <w:rsid w:val="002C24BC"/>
    <w:rsid w:val="002D03C6"/>
    <w:rsid w:val="002D0FDF"/>
    <w:rsid w:val="002D3955"/>
    <w:rsid w:val="002D68A9"/>
    <w:rsid w:val="002E06AE"/>
    <w:rsid w:val="002E4B75"/>
    <w:rsid w:val="002E68DD"/>
    <w:rsid w:val="002F17C2"/>
    <w:rsid w:val="002F32EE"/>
    <w:rsid w:val="002F4054"/>
    <w:rsid w:val="002F5574"/>
    <w:rsid w:val="00301D20"/>
    <w:rsid w:val="00302B19"/>
    <w:rsid w:val="00303428"/>
    <w:rsid w:val="003053C4"/>
    <w:rsid w:val="003058A3"/>
    <w:rsid w:val="00307DA5"/>
    <w:rsid w:val="0031169D"/>
    <w:rsid w:val="0031170D"/>
    <w:rsid w:val="00313E14"/>
    <w:rsid w:val="003167DD"/>
    <w:rsid w:val="00320C8B"/>
    <w:rsid w:val="00321BD8"/>
    <w:rsid w:val="00325687"/>
    <w:rsid w:val="00332C14"/>
    <w:rsid w:val="00335079"/>
    <w:rsid w:val="003352CE"/>
    <w:rsid w:val="00341D8E"/>
    <w:rsid w:val="003502B9"/>
    <w:rsid w:val="00351B8F"/>
    <w:rsid w:val="00353226"/>
    <w:rsid w:val="00353717"/>
    <w:rsid w:val="00354630"/>
    <w:rsid w:val="00365A24"/>
    <w:rsid w:val="003712DB"/>
    <w:rsid w:val="00373DDC"/>
    <w:rsid w:val="00382A86"/>
    <w:rsid w:val="00383BCC"/>
    <w:rsid w:val="00385243"/>
    <w:rsid w:val="003925D4"/>
    <w:rsid w:val="0039318C"/>
    <w:rsid w:val="00393366"/>
    <w:rsid w:val="003937DC"/>
    <w:rsid w:val="00393D75"/>
    <w:rsid w:val="003A2F2D"/>
    <w:rsid w:val="003A43AC"/>
    <w:rsid w:val="003A4EB6"/>
    <w:rsid w:val="003A7AE9"/>
    <w:rsid w:val="003A7BC5"/>
    <w:rsid w:val="003A7FF5"/>
    <w:rsid w:val="003B0352"/>
    <w:rsid w:val="003B4437"/>
    <w:rsid w:val="003B48C4"/>
    <w:rsid w:val="003B5E20"/>
    <w:rsid w:val="003B6DAD"/>
    <w:rsid w:val="003B735F"/>
    <w:rsid w:val="003C030C"/>
    <w:rsid w:val="003C55FC"/>
    <w:rsid w:val="003D0EC3"/>
    <w:rsid w:val="003D7274"/>
    <w:rsid w:val="003E4D82"/>
    <w:rsid w:val="003E5BC1"/>
    <w:rsid w:val="003F0D1B"/>
    <w:rsid w:val="003F1DD6"/>
    <w:rsid w:val="00401087"/>
    <w:rsid w:val="00402E26"/>
    <w:rsid w:val="00405701"/>
    <w:rsid w:val="004110BC"/>
    <w:rsid w:val="0041271F"/>
    <w:rsid w:val="0041688E"/>
    <w:rsid w:val="004170EF"/>
    <w:rsid w:val="0042093C"/>
    <w:rsid w:val="004233DD"/>
    <w:rsid w:val="00424405"/>
    <w:rsid w:val="00425B25"/>
    <w:rsid w:val="00425D24"/>
    <w:rsid w:val="00426A4D"/>
    <w:rsid w:val="00427687"/>
    <w:rsid w:val="00433231"/>
    <w:rsid w:val="004334CA"/>
    <w:rsid w:val="0043506A"/>
    <w:rsid w:val="00435830"/>
    <w:rsid w:val="0043619C"/>
    <w:rsid w:val="0044475D"/>
    <w:rsid w:val="00444D1E"/>
    <w:rsid w:val="0044571A"/>
    <w:rsid w:val="0044705D"/>
    <w:rsid w:val="0045090E"/>
    <w:rsid w:val="00453E36"/>
    <w:rsid w:val="00457286"/>
    <w:rsid w:val="00461FA5"/>
    <w:rsid w:val="00463566"/>
    <w:rsid w:val="00464182"/>
    <w:rsid w:val="00471C52"/>
    <w:rsid w:val="0047460C"/>
    <w:rsid w:val="00474FF2"/>
    <w:rsid w:val="00480098"/>
    <w:rsid w:val="00484A93"/>
    <w:rsid w:val="00485E12"/>
    <w:rsid w:val="004865DA"/>
    <w:rsid w:val="0048779C"/>
    <w:rsid w:val="00487AB7"/>
    <w:rsid w:val="00487ED0"/>
    <w:rsid w:val="00491D09"/>
    <w:rsid w:val="0049682C"/>
    <w:rsid w:val="004A168E"/>
    <w:rsid w:val="004A4EC7"/>
    <w:rsid w:val="004B0003"/>
    <w:rsid w:val="004C020A"/>
    <w:rsid w:val="004C03A3"/>
    <w:rsid w:val="004C44B8"/>
    <w:rsid w:val="004C7629"/>
    <w:rsid w:val="004D0D5D"/>
    <w:rsid w:val="004E27DD"/>
    <w:rsid w:val="004E3350"/>
    <w:rsid w:val="004E5292"/>
    <w:rsid w:val="004F2C5B"/>
    <w:rsid w:val="004F641B"/>
    <w:rsid w:val="004F71F3"/>
    <w:rsid w:val="005052FA"/>
    <w:rsid w:val="005069E1"/>
    <w:rsid w:val="00507E59"/>
    <w:rsid w:val="005122B5"/>
    <w:rsid w:val="0052381C"/>
    <w:rsid w:val="005346B3"/>
    <w:rsid w:val="0054051C"/>
    <w:rsid w:val="00546A84"/>
    <w:rsid w:val="00547BE2"/>
    <w:rsid w:val="0055353D"/>
    <w:rsid w:val="0056187C"/>
    <w:rsid w:val="00576B03"/>
    <w:rsid w:val="00581E1A"/>
    <w:rsid w:val="00591655"/>
    <w:rsid w:val="00591BEC"/>
    <w:rsid w:val="005940EA"/>
    <w:rsid w:val="00594448"/>
    <w:rsid w:val="005A1D6F"/>
    <w:rsid w:val="005A4D82"/>
    <w:rsid w:val="005A52A6"/>
    <w:rsid w:val="005B0DEC"/>
    <w:rsid w:val="005B368E"/>
    <w:rsid w:val="005B6E69"/>
    <w:rsid w:val="005C0015"/>
    <w:rsid w:val="005C1E82"/>
    <w:rsid w:val="005C2BCE"/>
    <w:rsid w:val="005C2CA5"/>
    <w:rsid w:val="005C7062"/>
    <w:rsid w:val="005C7788"/>
    <w:rsid w:val="005D10B9"/>
    <w:rsid w:val="005D18DA"/>
    <w:rsid w:val="005E00DC"/>
    <w:rsid w:val="005E3BBC"/>
    <w:rsid w:val="005E3EC6"/>
    <w:rsid w:val="005E4E07"/>
    <w:rsid w:val="005E4E46"/>
    <w:rsid w:val="005E5275"/>
    <w:rsid w:val="005E7DC8"/>
    <w:rsid w:val="005E7EC9"/>
    <w:rsid w:val="005F7087"/>
    <w:rsid w:val="00611BE4"/>
    <w:rsid w:val="0061219B"/>
    <w:rsid w:val="00621419"/>
    <w:rsid w:val="00626446"/>
    <w:rsid w:val="00626BE8"/>
    <w:rsid w:val="00631827"/>
    <w:rsid w:val="00632804"/>
    <w:rsid w:val="006376DA"/>
    <w:rsid w:val="006459DA"/>
    <w:rsid w:val="006502E8"/>
    <w:rsid w:val="00654A2B"/>
    <w:rsid w:val="0065675C"/>
    <w:rsid w:val="0065793F"/>
    <w:rsid w:val="0066263B"/>
    <w:rsid w:val="0066713A"/>
    <w:rsid w:val="0067195C"/>
    <w:rsid w:val="006724F7"/>
    <w:rsid w:val="0067511A"/>
    <w:rsid w:val="0067539B"/>
    <w:rsid w:val="00675543"/>
    <w:rsid w:val="00677396"/>
    <w:rsid w:val="00677AD9"/>
    <w:rsid w:val="00681970"/>
    <w:rsid w:val="00690641"/>
    <w:rsid w:val="00690D88"/>
    <w:rsid w:val="00691844"/>
    <w:rsid w:val="00693DDF"/>
    <w:rsid w:val="00696F9E"/>
    <w:rsid w:val="006A374A"/>
    <w:rsid w:val="006A505E"/>
    <w:rsid w:val="006A513E"/>
    <w:rsid w:val="006A5265"/>
    <w:rsid w:val="006B0CB9"/>
    <w:rsid w:val="006B2609"/>
    <w:rsid w:val="006B2750"/>
    <w:rsid w:val="006B3678"/>
    <w:rsid w:val="006B7390"/>
    <w:rsid w:val="006C0084"/>
    <w:rsid w:val="006C107D"/>
    <w:rsid w:val="006C3600"/>
    <w:rsid w:val="006C4534"/>
    <w:rsid w:val="006C5205"/>
    <w:rsid w:val="006C75F6"/>
    <w:rsid w:val="006D3F53"/>
    <w:rsid w:val="006D60AF"/>
    <w:rsid w:val="006E4722"/>
    <w:rsid w:val="00701651"/>
    <w:rsid w:val="007049BF"/>
    <w:rsid w:val="00704E79"/>
    <w:rsid w:val="00707A26"/>
    <w:rsid w:val="0071120F"/>
    <w:rsid w:val="00716380"/>
    <w:rsid w:val="00722165"/>
    <w:rsid w:val="00724B1C"/>
    <w:rsid w:val="007428F0"/>
    <w:rsid w:val="007512EF"/>
    <w:rsid w:val="007551AC"/>
    <w:rsid w:val="0076101C"/>
    <w:rsid w:val="00763D87"/>
    <w:rsid w:val="007670B2"/>
    <w:rsid w:val="00771795"/>
    <w:rsid w:val="00774925"/>
    <w:rsid w:val="0079279F"/>
    <w:rsid w:val="00793E69"/>
    <w:rsid w:val="007A063C"/>
    <w:rsid w:val="007A16B0"/>
    <w:rsid w:val="007A19EA"/>
    <w:rsid w:val="007A6092"/>
    <w:rsid w:val="007A60B7"/>
    <w:rsid w:val="007A64A6"/>
    <w:rsid w:val="007A6EE1"/>
    <w:rsid w:val="007A7C89"/>
    <w:rsid w:val="007B1487"/>
    <w:rsid w:val="007B2A43"/>
    <w:rsid w:val="007B326F"/>
    <w:rsid w:val="007B6A58"/>
    <w:rsid w:val="007B6C06"/>
    <w:rsid w:val="007B7B78"/>
    <w:rsid w:val="007C32B1"/>
    <w:rsid w:val="007C7A22"/>
    <w:rsid w:val="007C7C62"/>
    <w:rsid w:val="007D1076"/>
    <w:rsid w:val="007D12B7"/>
    <w:rsid w:val="007D2A49"/>
    <w:rsid w:val="007D5E38"/>
    <w:rsid w:val="007D7AC4"/>
    <w:rsid w:val="007E0340"/>
    <w:rsid w:val="007E1D4A"/>
    <w:rsid w:val="007E53C0"/>
    <w:rsid w:val="007E7703"/>
    <w:rsid w:val="007F4558"/>
    <w:rsid w:val="007F64DF"/>
    <w:rsid w:val="008050EF"/>
    <w:rsid w:val="0080652C"/>
    <w:rsid w:val="0080715F"/>
    <w:rsid w:val="008113D6"/>
    <w:rsid w:val="00812BA7"/>
    <w:rsid w:val="00813A87"/>
    <w:rsid w:val="00813F63"/>
    <w:rsid w:val="00815F57"/>
    <w:rsid w:val="0081760B"/>
    <w:rsid w:val="008218AC"/>
    <w:rsid w:val="00825359"/>
    <w:rsid w:val="00825E13"/>
    <w:rsid w:val="00826F07"/>
    <w:rsid w:val="008337CB"/>
    <w:rsid w:val="00834A3C"/>
    <w:rsid w:val="008360A0"/>
    <w:rsid w:val="00837658"/>
    <w:rsid w:val="00837CD4"/>
    <w:rsid w:val="00837F78"/>
    <w:rsid w:val="008400EE"/>
    <w:rsid w:val="00840791"/>
    <w:rsid w:val="00845576"/>
    <w:rsid w:val="00850708"/>
    <w:rsid w:val="00851024"/>
    <w:rsid w:val="008526D7"/>
    <w:rsid w:val="0086238C"/>
    <w:rsid w:val="008655DC"/>
    <w:rsid w:val="0086732D"/>
    <w:rsid w:val="00870183"/>
    <w:rsid w:val="00875726"/>
    <w:rsid w:val="00877F10"/>
    <w:rsid w:val="0088225D"/>
    <w:rsid w:val="00882F8D"/>
    <w:rsid w:val="00884FB0"/>
    <w:rsid w:val="008853A5"/>
    <w:rsid w:val="008944DA"/>
    <w:rsid w:val="00894D78"/>
    <w:rsid w:val="008A6A18"/>
    <w:rsid w:val="008B033F"/>
    <w:rsid w:val="008B4003"/>
    <w:rsid w:val="008B7443"/>
    <w:rsid w:val="008C179E"/>
    <w:rsid w:val="008C2379"/>
    <w:rsid w:val="008C4FF7"/>
    <w:rsid w:val="008C5C4C"/>
    <w:rsid w:val="008C7056"/>
    <w:rsid w:val="008C706D"/>
    <w:rsid w:val="008D3145"/>
    <w:rsid w:val="008E1A54"/>
    <w:rsid w:val="008E1F95"/>
    <w:rsid w:val="008E36B6"/>
    <w:rsid w:val="008E4267"/>
    <w:rsid w:val="008E4847"/>
    <w:rsid w:val="008E5FF1"/>
    <w:rsid w:val="008E63D2"/>
    <w:rsid w:val="008E6E14"/>
    <w:rsid w:val="008F1528"/>
    <w:rsid w:val="008F1AE5"/>
    <w:rsid w:val="008F55D9"/>
    <w:rsid w:val="009057DE"/>
    <w:rsid w:val="00905F97"/>
    <w:rsid w:val="00906FA3"/>
    <w:rsid w:val="0091239D"/>
    <w:rsid w:val="00912825"/>
    <w:rsid w:val="009129B8"/>
    <w:rsid w:val="00912B99"/>
    <w:rsid w:val="00912C78"/>
    <w:rsid w:val="00927892"/>
    <w:rsid w:val="009319B9"/>
    <w:rsid w:val="009351E9"/>
    <w:rsid w:val="00937862"/>
    <w:rsid w:val="00942279"/>
    <w:rsid w:val="009524EB"/>
    <w:rsid w:val="00962013"/>
    <w:rsid w:val="00963942"/>
    <w:rsid w:val="0096716C"/>
    <w:rsid w:val="009672B2"/>
    <w:rsid w:val="00971C66"/>
    <w:rsid w:val="00972363"/>
    <w:rsid w:val="0098419C"/>
    <w:rsid w:val="009843EF"/>
    <w:rsid w:val="009867F2"/>
    <w:rsid w:val="00991347"/>
    <w:rsid w:val="00996018"/>
    <w:rsid w:val="0099738E"/>
    <w:rsid w:val="009A493E"/>
    <w:rsid w:val="009A531F"/>
    <w:rsid w:val="009A6931"/>
    <w:rsid w:val="009B1F9A"/>
    <w:rsid w:val="009B1FA9"/>
    <w:rsid w:val="009B349F"/>
    <w:rsid w:val="009B4293"/>
    <w:rsid w:val="009B6715"/>
    <w:rsid w:val="009C7B74"/>
    <w:rsid w:val="009D0BE2"/>
    <w:rsid w:val="009D114E"/>
    <w:rsid w:val="009D210F"/>
    <w:rsid w:val="009D309C"/>
    <w:rsid w:val="009D37B1"/>
    <w:rsid w:val="009D4717"/>
    <w:rsid w:val="009D694D"/>
    <w:rsid w:val="009E264E"/>
    <w:rsid w:val="009F0C98"/>
    <w:rsid w:val="009F0F81"/>
    <w:rsid w:val="009F2543"/>
    <w:rsid w:val="009F256D"/>
    <w:rsid w:val="009F341E"/>
    <w:rsid w:val="009F57CE"/>
    <w:rsid w:val="00A117CA"/>
    <w:rsid w:val="00A12225"/>
    <w:rsid w:val="00A14C18"/>
    <w:rsid w:val="00A25898"/>
    <w:rsid w:val="00A3071D"/>
    <w:rsid w:val="00A3182E"/>
    <w:rsid w:val="00A31A89"/>
    <w:rsid w:val="00A32F06"/>
    <w:rsid w:val="00A34934"/>
    <w:rsid w:val="00A34EFE"/>
    <w:rsid w:val="00A36546"/>
    <w:rsid w:val="00A4069C"/>
    <w:rsid w:val="00A413B5"/>
    <w:rsid w:val="00A429CB"/>
    <w:rsid w:val="00A44E87"/>
    <w:rsid w:val="00A5063C"/>
    <w:rsid w:val="00A52749"/>
    <w:rsid w:val="00A5422E"/>
    <w:rsid w:val="00A56EC1"/>
    <w:rsid w:val="00A6350C"/>
    <w:rsid w:val="00A6370B"/>
    <w:rsid w:val="00A63A73"/>
    <w:rsid w:val="00A6655C"/>
    <w:rsid w:val="00A66CBB"/>
    <w:rsid w:val="00A6704E"/>
    <w:rsid w:val="00A67EA4"/>
    <w:rsid w:val="00A773FF"/>
    <w:rsid w:val="00A83AA1"/>
    <w:rsid w:val="00A906F4"/>
    <w:rsid w:val="00A9343A"/>
    <w:rsid w:val="00A9706C"/>
    <w:rsid w:val="00A97B34"/>
    <w:rsid w:val="00AA1B5C"/>
    <w:rsid w:val="00AA7A27"/>
    <w:rsid w:val="00AB3FB0"/>
    <w:rsid w:val="00AB465D"/>
    <w:rsid w:val="00AB713D"/>
    <w:rsid w:val="00AC114C"/>
    <w:rsid w:val="00AC1478"/>
    <w:rsid w:val="00AC6C2D"/>
    <w:rsid w:val="00AC6E17"/>
    <w:rsid w:val="00AD2FF3"/>
    <w:rsid w:val="00AD7764"/>
    <w:rsid w:val="00AD7FE2"/>
    <w:rsid w:val="00AE1284"/>
    <w:rsid w:val="00AE1B18"/>
    <w:rsid w:val="00AE7339"/>
    <w:rsid w:val="00AF1B0B"/>
    <w:rsid w:val="00AF242C"/>
    <w:rsid w:val="00AF3CC4"/>
    <w:rsid w:val="00B05903"/>
    <w:rsid w:val="00B12C7A"/>
    <w:rsid w:val="00B12E10"/>
    <w:rsid w:val="00B22BC3"/>
    <w:rsid w:val="00B25865"/>
    <w:rsid w:val="00B272B6"/>
    <w:rsid w:val="00B2771B"/>
    <w:rsid w:val="00B336E9"/>
    <w:rsid w:val="00B33AE5"/>
    <w:rsid w:val="00B35BE5"/>
    <w:rsid w:val="00B46965"/>
    <w:rsid w:val="00B54ED0"/>
    <w:rsid w:val="00B55D47"/>
    <w:rsid w:val="00B6204E"/>
    <w:rsid w:val="00B649EC"/>
    <w:rsid w:val="00B728DD"/>
    <w:rsid w:val="00B72D43"/>
    <w:rsid w:val="00B74121"/>
    <w:rsid w:val="00B80ABA"/>
    <w:rsid w:val="00B859FF"/>
    <w:rsid w:val="00B85C1B"/>
    <w:rsid w:val="00B85FF0"/>
    <w:rsid w:val="00B86150"/>
    <w:rsid w:val="00B878F9"/>
    <w:rsid w:val="00B9044A"/>
    <w:rsid w:val="00B960F3"/>
    <w:rsid w:val="00B96A31"/>
    <w:rsid w:val="00BA05E6"/>
    <w:rsid w:val="00BA51B0"/>
    <w:rsid w:val="00BA6319"/>
    <w:rsid w:val="00BC03B0"/>
    <w:rsid w:val="00BC06A3"/>
    <w:rsid w:val="00BC0CEA"/>
    <w:rsid w:val="00BC2220"/>
    <w:rsid w:val="00BC26B9"/>
    <w:rsid w:val="00BC26FA"/>
    <w:rsid w:val="00BC4E01"/>
    <w:rsid w:val="00BC73F6"/>
    <w:rsid w:val="00BD1177"/>
    <w:rsid w:val="00BD1374"/>
    <w:rsid w:val="00BD3531"/>
    <w:rsid w:val="00BD4E35"/>
    <w:rsid w:val="00BE34CA"/>
    <w:rsid w:val="00BF116A"/>
    <w:rsid w:val="00C0623C"/>
    <w:rsid w:val="00C06A07"/>
    <w:rsid w:val="00C132B6"/>
    <w:rsid w:val="00C21A6C"/>
    <w:rsid w:val="00C24A10"/>
    <w:rsid w:val="00C27003"/>
    <w:rsid w:val="00C27597"/>
    <w:rsid w:val="00C32BD4"/>
    <w:rsid w:val="00C33E48"/>
    <w:rsid w:val="00C3618B"/>
    <w:rsid w:val="00C403FB"/>
    <w:rsid w:val="00C4316E"/>
    <w:rsid w:val="00C441A2"/>
    <w:rsid w:val="00C5076B"/>
    <w:rsid w:val="00C512D4"/>
    <w:rsid w:val="00C51CF4"/>
    <w:rsid w:val="00C531E2"/>
    <w:rsid w:val="00C53204"/>
    <w:rsid w:val="00C57E34"/>
    <w:rsid w:val="00C64659"/>
    <w:rsid w:val="00C662E9"/>
    <w:rsid w:val="00C66C2D"/>
    <w:rsid w:val="00C7190B"/>
    <w:rsid w:val="00C76852"/>
    <w:rsid w:val="00C77210"/>
    <w:rsid w:val="00C777FA"/>
    <w:rsid w:val="00C77989"/>
    <w:rsid w:val="00C811F4"/>
    <w:rsid w:val="00C81E51"/>
    <w:rsid w:val="00C87B73"/>
    <w:rsid w:val="00C92444"/>
    <w:rsid w:val="00C92FBB"/>
    <w:rsid w:val="00C93327"/>
    <w:rsid w:val="00C97B4D"/>
    <w:rsid w:val="00CA5602"/>
    <w:rsid w:val="00CA5CA9"/>
    <w:rsid w:val="00CA78E2"/>
    <w:rsid w:val="00CB1BBE"/>
    <w:rsid w:val="00CB65DB"/>
    <w:rsid w:val="00CB6BD9"/>
    <w:rsid w:val="00CC293A"/>
    <w:rsid w:val="00CE19F6"/>
    <w:rsid w:val="00CE6B76"/>
    <w:rsid w:val="00CF366B"/>
    <w:rsid w:val="00CF5D9D"/>
    <w:rsid w:val="00CF606C"/>
    <w:rsid w:val="00CF7423"/>
    <w:rsid w:val="00D001F5"/>
    <w:rsid w:val="00D03E80"/>
    <w:rsid w:val="00D1505F"/>
    <w:rsid w:val="00D15B9F"/>
    <w:rsid w:val="00D15DD6"/>
    <w:rsid w:val="00D25548"/>
    <w:rsid w:val="00D2601F"/>
    <w:rsid w:val="00D27759"/>
    <w:rsid w:val="00D30028"/>
    <w:rsid w:val="00D325D3"/>
    <w:rsid w:val="00D408D6"/>
    <w:rsid w:val="00D511DD"/>
    <w:rsid w:val="00D55C2A"/>
    <w:rsid w:val="00D571C1"/>
    <w:rsid w:val="00D602F4"/>
    <w:rsid w:val="00D6457E"/>
    <w:rsid w:val="00D742E2"/>
    <w:rsid w:val="00D7580E"/>
    <w:rsid w:val="00D87DAF"/>
    <w:rsid w:val="00D9446D"/>
    <w:rsid w:val="00DA2994"/>
    <w:rsid w:val="00DB08E8"/>
    <w:rsid w:val="00DB0DED"/>
    <w:rsid w:val="00DB3073"/>
    <w:rsid w:val="00DB3BA9"/>
    <w:rsid w:val="00DB50FE"/>
    <w:rsid w:val="00DB5EDA"/>
    <w:rsid w:val="00DC2349"/>
    <w:rsid w:val="00DC3026"/>
    <w:rsid w:val="00DD1EDB"/>
    <w:rsid w:val="00DD57AA"/>
    <w:rsid w:val="00DE1578"/>
    <w:rsid w:val="00DE7F67"/>
    <w:rsid w:val="00DF0529"/>
    <w:rsid w:val="00DF09EF"/>
    <w:rsid w:val="00DF0D0F"/>
    <w:rsid w:val="00DF13D6"/>
    <w:rsid w:val="00DF27D6"/>
    <w:rsid w:val="00DF2BEA"/>
    <w:rsid w:val="00DF4488"/>
    <w:rsid w:val="00DF5B98"/>
    <w:rsid w:val="00DF6FA8"/>
    <w:rsid w:val="00DF701E"/>
    <w:rsid w:val="00DF7BE5"/>
    <w:rsid w:val="00E00D49"/>
    <w:rsid w:val="00E019A8"/>
    <w:rsid w:val="00E03A46"/>
    <w:rsid w:val="00E03C6D"/>
    <w:rsid w:val="00E0476F"/>
    <w:rsid w:val="00E04899"/>
    <w:rsid w:val="00E0796F"/>
    <w:rsid w:val="00E10948"/>
    <w:rsid w:val="00E24371"/>
    <w:rsid w:val="00E243AB"/>
    <w:rsid w:val="00E26641"/>
    <w:rsid w:val="00E2778F"/>
    <w:rsid w:val="00E278B0"/>
    <w:rsid w:val="00E33023"/>
    <w:rsid w:val="00E331F3"/>
    <w:rsid w:val="00E3498D"/>
    <w:rsid w:val="00E42425"/>
    <w:rsid w:val="00E43E55"/>
    <w:rsid w:val="00E4554E"/>
    <w:rsid w:val="00E46D22"/>
    <w:rsid w:val="00E4768F"/>
    <w:rsid w:val="00E53C0E"/>
    <w:rsid w:val="00E54F7E"/>
    <w:rsid w:val="00E560CE"/>
    <w:rsid w:val="00E5674E"/>
    <w:rsid w:val="00E63783"/>
    <w:rsid w:val="00E650E2"/>
    <w:rsid w:val="00E75CAD"/>
    <w:rsid w:val="00E76922"/>
    <w:rsid w:val="00E8595B"/>
    <w:rsid w:val="00E915EC"/>
    <w:rsid w:val="00EA11B1"/>
    <w:rsid w:val="00EA2224"/>
    <w:rsid w:val="00EA7194"/>
    <w:rsid w:val="00EB1329"/>
    <w:rsid w:val="00EB2987"/>
    <w:rsid w:val="00EB2D75"/>
    <w:rsid w:val="00EB34BE"/>
    <w:rsid w:val="00EB571A"/>
    <w:rsid w:val="00EC2804"/>
    <w:rsid w:val="00EC6117"/>
    <w:rsid w:val="00EC6138"/>
    <w:rsid w:val="00ED1DCF"/>
    <w:rsid w:val="00ED43C9"/>
    <w:rsid w:val="00EE2C60"/>
    <w:rsid w:val="00EE2E58"/>
    <w:rsid w:val="00EE487A"/>
    <w:rsid w:val="00EE734C"/>
    <w:rsid w:val="00EF6907"/>
    <w:rsid w:val="00EF6D91"/>
    <w:rsid w:val="00F01F54"/>
    <w:rsid w:val="00F04D4D"/>
    <w:rsid w:val="00F11DD8"/>
    <w:rsid w:val="00F12745"/>
    <w:rsid w:val="00F13766"/>
    <w:rsid w:val="00F20A77"/>
    <w:rsid w:val="00F22C60"/>
    <w:rsid w:val="00F231A4"/>
    <w:rsid w:val="00F23252"/>
    <w:rsid w:val="00F27B2A"/>
    <w:rsid w:val="00F31762"/>
    <w:rsid w:val="00F345D3"/>
    <w:rsid w:val="00F356ED"/>
    <w:rsid w:val="00F359B5"/>
    <w:rsid w:val="00F4144F"/>
    <w:rsid w:val="00F433F3"/>
    <w:rsid w:val="00F47F64"/>
    <w:rsid w:val="00F522D9"/>
    <w:rsid w:val="00F52F54"/>
    <w:rsid w:val="00F53584"/>
    <w:rsid w:val="00F61B24"/>
    <w:rsid w:val="00F62DE5"/>
    <w:rsid w:val="00F63F8A"/>
    <w:rsid w:val="00F6514E"/>
    <w:rsid w:val="00F703DC"/>
    <w:rsid w:val="00F71D06"/>
    <w:rsid w:val="00F73B46"/>
    <w:rsid w:val="00F73D01"/>
    <w:rsid w:val="00F7642B"/>
    <w:rsid w:val="00F76A43"/>
    <w:rsid w:val="00F80334"/>
    <w:rsid w:val="00F8139D"/>
    <w:rsid w:val="00F83DF9"/>
    <w:rsid w:val="00F85DA0"/>
    <w:rsid w:val="00F930AF"/>
    <w:rsid w:val="00F9352C"/>
    <w:rsid w:val="00F975B0"/>
    <w:rsid w:val="00FA15F1"/>
    <w:rsid w:val="00FA19F5"/>
    <w:rsid w:val="00FA4A69"/>
    <w:rsid w:val="00FA649A"/>
    <w:rsid w:val="00FB1248"/>
    <w:rsid w:val="00FB208D"/>
    <w:rsid w:val="00FB3CF4"/>
    <w:rsid w:val="00FB4A27"/>
    <w:rsid w:val="00FB4A49"/>
    <w:rsid w:val="00FB69B3"/>
    <w:rsid w:val="00FC6FBE"/>
    <w:rsid w:val="00FD1162"/>
    <w:rsid w:val="00FD2232"/>
    <w:rsid w:val="00FD4AE7"/>
    <w:rsid w:val="00FD65A9"/>
    <w:rsid w:val="00FD7508"/>
    <w:rsid w:val="00FE1E51"/>
    <w:rsid w:val="00FE2496"/>
    <w:rsid w:val="00FE6A2B"/>
    <w:rsid w:val="00FF0275"/>
    <w:rsid w:val="00FF07B3"/>
    <w:rsid w:val="00FF1E37"/>
    <w:rsid w:val="02F120AB"/>
    <w:rsid w:val="032B5196"/>
    <w:rsid w:val="04C3537C"/>
    <w:rsid w:val="079004AC"/>
    <w:rsid w:val="0BA148CA"/>
    <w:rsid w:val="0C1165C4"/>
    <w:rsid w:val="0D6D544B"/>
    <w:rsid w:val="0DD136FE"/>
    <w:rsid w:val="0F8E2C57"/>
    <w:rsid w:val="1059665E"/>
    <w:rsid w:val="10AC13BA"/>
    <w:rsid w:val="145A6C1B"/>
    <w:rsid w:val="14B73493"/>
    <w:rsid w:val="167A2FF9"/>
    <w:rsid w:val="18581C69"/>
    <w:rsid w:val="1AEC0734"/>
    <w:rsid w:val="1DEF20B0"/>
    <w:rsid w:val="214243FA"/>
    <w:rsid w:val="21AD613C"/>
    <w:rsid w:val="22467189"/>
    <w:rsid w:val="257A14F5"/>
    <w:rsid w:val="27196C26"/>
    <w:rsid w:val="29EF086F"/>
    <w:rsid w:val="2EFFE297"/>
    <w:rsid w:val="301437CA"/>
    <w:rsid w:val="349D1F0A"/>
    <w:rsid w:val="34DD0473"/>
    <w:rsid w:val="36F257BD"/>
    <w:rsid w:val="3C684897"/>
    <w:rsid w:val="433E495C"/>
    <w:rsid w:val="489F2FD7"/>
    <w:rsid w:val="4AC27CB3"/>
    <w:rsid w:val="4BF72BEF"/>
    <w:rsid w:val="4FA90297"/>
    <w:rsid w:val="4FC41A43"/>
    <w:rsid w:val="51DB3C59"/>
    <w:rsid w:val="550C0952"/>
    <w:rsid w:val="55762E42"/>
    <w:rsid w:val="57A7B272"/>
    <w:rsid w:val="58470068"/>
    <w:rsid w:val="58747CAC"/>
    <w:rsid w:val="5A1720F9"/>
    <w:rsid w:val="5B9C37C2"/>
    <w:rsid w:val="5BA7C654"/>
    <w:rsid w:val="60A54109"/>
    <w:rsid w:val="61D01CDF"/>
    <w:rsid w:val="64C0607C"/>
    <w:rsid w:val="65756C86"/>
    <w:rsid w:val="674D385B"/>
    <w:rsid w:val="676F09E1"/>
    <w:rsid w:val="71793A80"/>
    <w:rsid w:val="7357290B"/>
    <w:rsid w:val="798524E4"/>
    <w:rsid w:val="7A7F1C49"/>
    <w:rsid w:val="7B5B7AE6"/>
    <w:rsid w:val="7B7B6628"/>
    <w:rsid w:val="7BA7071E"/>
    <w:rsid w:val="7BDF6DA8"/>
    <w:rsid w:val="7C7EDC1A"/>
    <w:rsid w:val="7CCED98D"/>
    <w:rsid w:val="7D08410F"/>
    <w:rsid w:val="7DB96DED"/>
    <w:rsid w:val="7DD3AD81"/>
    <w:rsid w:val="7F7FE70F"/>
    <w:rsid w:val="7FFF772F"/>
    <w:rsid w:val="95F35EF6"/>
    <w:rsid w:val="9BFFD860"/>
    <w:rsid w:val="9DBFD883"/>
    <w:rsid w:val="AC5F73DE"/>
    <w:rsid w:val="B35D8604"/>
    <w:rsid w:val="B5DDD2C8"/>
    <w:rsid w:val="B7DFD856"/>
    <w:rsid w:val="B9DFABD9"/>
    <w:rsid w:val="BC0D83FC"/>
    <w:rsid w:val="BF3BDEFB"/>
    <w:rsid w:val="C75F6086"/>
    <w:rsid w:val="C7F7ED2D"/>
    <w:rsid w:val="CFAF854E"/>
    <w:rsid w:val="D8D7928E"/>
    <w:rsid w:val="D8FE3136"/>
    <w:rsid w:val="DDDE60B7"/>
    <w:rsid w:val="DE9F6A22"/>
    <w:rsid w:val="DF4FCE6A"/>
    <w:rsid w:val="E4FED278"/>
    <w:rsid w:val="EDAA365C"/>
    <w:rsid w:val="EDADFC12"/>
    <w:rsid w:val="F2FD229B"/>
    <w:rsid w:val="F6B7B8E7"/>
    <w:rsid w:val="F735A328"/>
    <w:rsid w:val="F7DCDA9C"/>
    <w:rsid w:val="F7F709E9"/>
    <w:rsid w:val="F7FF3690"/>
    <w:rsid w:val="F9BD3900"/>
    <w:rsid w:val="FA5F910F"/>
    <w:rsid w:val="FC8B9876"/>
    <w:rsid w:val="FCBFEB26"/>
    <w:rsid w:val="FDFF169B"/>
    <w:rsid w:val="FEDFF218"/>
    <w:rsid w:val="FEDFFFFF"/>
    <w:rsid w:val="FFDFB0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keepNext/>
      <w:keepLines/>
      <w:spacing w:before="100" w:beforeAutospacing="1" w:after="100" w:afterAutospacing="1"/>
      <w:outlineLvl w:val="1"/>
    </w:pPr>
    <w:rPr>
      <w:rFonts w:ascii="Cambria" w:hAnsi="Cambria" w:eastAsia="黑体"/>
      <w:b/>
      <w:bCs/>
      <w:kern w:val="0"/>
      <w:sz w:val="36"/>
      <w:szCs w:val="32"/>
    </w:rPr>
  </w:style>
  <w:style w:type="paragraph" w:styleId="2">
    <w:name w:val="heading 3"/>
    <w:basedOn w:val="1"/>
    <w:next w:val="1"/>
    <w:qFormat/>
    <w:uiPriority w:val="9"/>
    <w:pPr>
      <w:pBdr>
        <w:top w:val="none" w:color="auto" w:sz="0" w:space="0"/>
        <w:left w:val="none" w:color="auto" w:sz="0" w:space="0"/>
        <w:bottom w:val="none" w:color="auto" w:sz="0" w:space="0"/>
        <w:right w:val="none" w:color="auto" w:sz="0" w:space="0"/>
      </w:pBdr>
      <w:spacing w:before="0" w:beforeAutospacing="0" w:after="0" w:afterAutospacing="0"/>
      <w:ind w:left="0" w:right="0"/>
      <w:jc w:val="left"/>
      <w:outlineLvl w:val="2"/>
    </w:pPr>
    <w:rPr>
      <w:rFonts w:hint="eastAsia" w:ascii="宋体" w:hAnsi="宋体" w:eastAsia="宋体" w:cs="宋体"/>
      <w:b/>
      <w:kern w:val="0"/>
      <w:sz w:val="27"/>
      <w:szCs w:val="27"/>
      <w:lang w:val="en-US" w:eastAsia="zh-CN" w:bidi="ar"/>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Normal Indent"/>
    <w:basedOn w:val="1"/>
    <w:qFormat/>
    <w:uiPriority w:val="0"/>
    <w:pPr>
      <w:ind w:firstLine="200" w:firstLineChars="200"/>
    </w:pPr>
  </w:style>
  <w:style w:type="paragraph" w:styleId="5">
    <w:name w:val="Body Text Indent"/>
    <w:basedOn w:val="1"/>
    <w:qFormat/>
    <w:uiPriority w:val="0"/>
    <w:pPr>
      <w:ind w:firstLine="645"/>
    </w:pPr>
    <w:rPr>
      <w:rFonts w:ascii="仿宋_GB2312" w:hAnsi="Calibri" w:eastAsia="仿宋_GB2312"/>
      <w:sz w:val="32"/>
      <w:szCs w:val="32"/>
    </w:rPr>
  </w:style>
  <w:style w:type="paragraph" w:styleId="6">
    <w:name w:val="Date"/>
    <w:basedOn w:val="1"/>
    <w:next w:val="1"/>
    <w:qFormat/>
    <w:uiPriority w:val="0"/>
    <w:pPr>
      <w:ind w:left="100" w:leftChars="2500"/>
    </w:pPr>
  </w:style>
  <w:style w:type="paragraph" w:styleId="7">
    <w:name w:val="Balloon Text"/>
    <w:basedOn w:val="1"/>
    <w:semiHidden/>
    <w:qFormat/>
    <w:uiPriority w:val="0"/>
    <w:rPr>
      <w:sz w:val="18"/>
      <w:szCs w:val="18"/>
    </w:rPr>
  </w:style>
  <w:style w:type="paragraph" w:styleId="8">
    <w:name w:val="footer"/>
    <w:basedOn w:val="1"/>
    <w:link w:val="15"/>
    <w:qFormat/>
    <w:uiPriority w:val="0"/>
    <w:pPr>
      <w:tabs>
        <w:tab w:val="center" w:pos="4153"/>
        <w:tab w:val="right" w:pos="8306"/>
      </w:tabs>
      <w:snapToGrid w:val="0"/>
      <w:jc w:val="left"/>
    </w:pPr>
    <w:rPr>
      <w:sz w:val="18"/>
      <w:szCs w:val="18"/>
    </w:rPr>
  </w:style>
  <w:style w:type="paragraph" w:styleId="9">
    <w:name w:val="header"/>
    <w:basedOn w:val="1"/>
    <w:link w:val="16"/>
    <w:qFormat/>
    <w:uiPriority w:val="0"/>
    <w:pPr>
      <w:pBdr>
        <w:bottom w:val="single" w:color="auto" w:sz="6" w:space="1"/>
      </w:pBdr>
      <w:tabs>
        <w:tab w:val="center" w:pos="4153"/>
        <w:tab w:val="right" w:pos="8306"/>
      </w:tabs>
      <w:snapToGrid w:val="0"/>
      <w:jc w:val="center"/>
    </w:pPr>
    <w:rPr>
      <w:rFonts w:ascii="Calibri" w:hAnsi="Calibri"/>
      <w:sz w:val="18"/>
      <w:szCs w:val="18"/>
    </w:rPr>
  </w:style>
  <w:style w:type="paragraph" w:styleId="10">
    <w:name w:val="Normal (Web)"/>
    <w:basedOn w:val="1"/>
    <w:unhideWhenUsed/>
    <w:qFormat/>
    <w:uiPriority w:val="0"/>
    <w:pPr>
      <w:spacing w:before="100" w:beforeAutospacing="1" w:after="100" w:afterAutospacing="1"/>
      <w:ind w:right="238"/>
      <w:jc w:val="left"/>
    </w:pPr>
    <w:rPr>
      <w:b/>
      <w:kern w:val="0"/>
      <w:sz w:val="24"/>
      <w:szCs w:val="20"/>
    </w:rPr>
  </w:style>
  <w:style w:type="character" w:styleId="13">
    <w:name w:val="Strong"/>
    <w:qFormat/>
    <w:uiPriority w:val="0"/>
    <w:rPr>
      <w:b/>
    </w:rPr>
  </w:style>
  <w:style w:type="character" w:styleId="14">
    <w:name w:val="page number"/>
    <w:qFormat/>
    <w:uiPriority w:val="0"/>
  </w:style>
  <w:style w:type="character" w:customStyle="1" w:styleId="15">
    <w:name w:val="页脚 Char"/>
    <w:link w:val="8"/>
    <w:qFormat/>
    <w:uiPriority w:val="0"/>
    <w:rPr>
      <w:rFonts w:eastAsia="宋体"/>
      <w:kern w:val="2"/>
      <w:sz w:val="18"/>
      <w:szCs w:val="18"/>
      <w:lang w:val="en-US" w:eastAsia="zh-CN" w:bidi="ar-SA"/>
    </w:rPr>
  </w:style>
  <w:style w:type="character" w:customStyle="1" w:styleId="16">
    <w:name w:val="页眉 Char"/>
    <w:link w:val="9"/>
    <w:qFormat/>
    <w:uiPriority w:val="0"/>
    <w:rPr>
      <w:rFonts w:ascii="Calibri" w:hAnsi="Calibri" w:eastAsia="宋体"/>
      <w:kern w:val="2"/>
      <w:sz w:val="18"/>
      <w:szCs w:val="18"/>
      <w:lang w:val="en-US" w:eastAsia="zh-CN" w:bidi="ar-SA"/>
    </w:rPr>
  </w:style>
  <w:style w:type="paragraph" w:customStyle="1" w:styleId="17">
    <w:name w:val="Char Char Char Char Char Char Char"/>
    <w:basedOn w:val="1"/>
    <w:qFormat/>
    <w:uiPriority w:val="0"/>
    <w:rPr>
      <w:rFonts w:ascii="Tahoma" w:hAnsi="Tahoma"/>
      <w:sz w:val="24"/>
      <w:szCs w:val="20"/>
    </w:rPr>
  </w:style>
  <w:style w:type="paragraph" w:customStyle="1" w:styleId="18">
    <w:name w:val="Char1 Char Char Char"/>
    <w:basedOn w:val="1"/>
    <w:qFormat/>
    <w:uiPriority w:val="0"/>
    <w:pPr>
      <w:widowControl/>
      <w:spacing w:after="160" w:line="240" w:lineRule="exact"/>
      <w:jc w:val="left"/>
    </w:pPr>
    <w:rPr>
      <w:szCs w:val="20"/>
    </w:rPr>
  </w:style>
  <w:style w:type="paragraph" w:customStyle="1" w:styleId="19">
    <w:name w:val="Char"/>
    <w:basedOn w:val="1"/>
    <w:qFormat/>
    <w:uiPriority w:val="0"/>
    <w:rPr>
      <w:rFonts w:ascii="Tahoma" w:hAnsi="Tahoma"/>
      <w:sz w:val="24"/>
      <w:szCs w:val="20"/>
    </w:rPr>
  </w:style>
  <w:style w:type="paragraph" w:customStyle="1" w:styleId="20">
    <w:name w:val="Char Char3 Char Char"/>
    <w:basedOn w:val="1"/>
    <w:qFormat/>
    <w:uiPriority w:val="0"/>
    <w:rPr>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18</Pages>
  <Words>3432</Words>
  <Characters>5781</Characters>
  <Lines>44</Lines>
  <Paragraphs>12</Paragraphs>
  <TotalTime>37</TotalTime>
  <ScaleCrop>false</ScaleCrop>
  <LinksUpToDate>false</LinksUpToDate>
  <CharactersWithSpaces>5802</CharactersWithSpaces>
  <Application>WPS Office_12.8.2.1119_F1E327BC-269C-435d-A152-05C5408002CA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2017-07-13T23:16:00Z</dcterms:created>
  <dc:creator>常程</dc:creator>
  <cp:lastModifiedBy>admin</cp:lastModifiedBy>
  <cp:lastPrinted>2020-08-09T19:39:00Z</cp:lastPrinted>
  <dcterms:modified xsi:type="dcterms:W3CDTF">2025-08-28T17:49:04Z</dcterms:modified>
  <dc:title>北京市财政局关于做好向市人大常委会报送2015年度市级部门决算（草案）</dc:title>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2052-12.8.2.1119</vt:lpwstr>
  </property>
  <property fmtid="{D5CDD505-2E9C-101B-9397-08002B2CF9AE}" pid="3" name="ICV">
    <vt:lpwstr>9CAE62663863CCCD1026B068F66857FB_43</vt:lpwstr>
  </property>
  <property fmtid="{D5CDD505-2E9C-101B-9397-08002B2CF9AE}" pid="4" name="KSOTemplateDocerSaveRecord">
    <vt:lpwstr>eyJoZGlkIjoiMzFhMDlmODM4NDM3ZTUzZTJhOWRjZWIxNmVkMjQxNTMiLCJ1c2VySWQiOiIxMTQwMjc4MDE0In0=</vt:lpwstr>
  </property>
</Properties>
</file>