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52"/>
          <w:szCs w:val="52"/>
        </w:rPr>
      </w:pPr>
      <w:bookmarkStart w:id="0" w:name="_Toc396293517"/>
      <w:bookmarkStart w:id="1" w:name="_Toc380588482"/>
      <w:r>
        <w:rPr>
          <w:rFonts w:hint="eastAsia" w:ascii="Times New Roman" w:hAnsi="Times New Roman" w:eastAsia="宋体" w:cs="Times New Roman"/>
          <w:b/>
          <w:sz w:val="52"/>
          <w:szCs w:val="52"/>
        </w:rPr>
        <w:t>西城区项目支出绩效报告</w:t>
      </w:r>
      <w:bookmarkEnd w:id="0"/>
      <w:bookmarkEnd w:id="1"/>
    </w:p>
    <w:p>
      <w:pPr>
        <w:adjustRightInd w:val="0"/>
        <w:snapToGrid w:val="0"/>
        <w:spacing w:before="100" w:beforeAutospacing="1" w:after="100" w:afterAutospacing="1" w:line="312" w:lineRule="auto"/>
        <w:ind w:firstLine="600"/>
        <w:jc w:val="center"/>
        <w:rPr>
          <w:rFonts w:ascii="仿宋_GB2312" w:hAnsi="Times New Roman" w:eastAsia="宋体" w:cs="Times New Roman"/>
          <w:sz w:val="30"/>
          <w:szCs w:val="30"/>
        </w:rPr>
      </w:pPr>
    </w:p>
    <w:p>
      <w:pPr>
        <w:spacing w:before="100" w:beforeAutospacing="1" w:after="100" w:afterAutospacing="1" w:line="312" w:lineRule="auto"/>
        <w:jc w:val="center"/>
        <w:rPr>
          <w:rFonts w:ascii="仿宋_GB2312" w:hAnsi="宋体" w:eastAsia="宋体" w:cs="Times New Roman"/>
          <w:sz w:val="32"/>
          <w:szCs w:val="32"/>
        </w:rPr>
      </w:pPr>
      <w:r>
        <w:rPr>
          <w:rFonts w:hint="eastAsia" w:ascii="仿宋_GB2312" w:hAnsi="宋体" w:eastAsia="宋体" w:cs="Times New Roman"/>
          <w:sz w:val="32"/>
          <w:szCs w:val="32"/>
        </w:rPr>
        <w:t xml:space="preserve">（ </w:t>
      </w:r>
      <w:r>
        <w:rPr>
          <w:rFonts w:hint="eastAsia" w:ascii="仿宋_GB2312" w:hAnsi="宋体" w:eastAsia="宋体" w:cs="Times New Roman"/>
          <w:sz w:val="32"/>
          <w:szCs w:val="32"/>
          <w:lang w:val="en-US" w:eastAsia="zh-CN"/>
        </w:rPr>
        <w:t>2024</w:t>
      </w:r>
      <w:r>
        <w:rPr>
          <w:rFonts w:hint="eastAsia" w:ascii="仿宋_GB2312" w:hAnsi="宋体" w:eastAsia="宋体" w:cs="Times New Roman"/>
          <w:sz w:val="32"/>
          <w:szCs w:val="32"/>
        </w:rPr>
        <w:t>年度）</w:t>
      </w: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899" w:firstLineChars="281"/>
        <w:rPr>
          <w:rFonts w:ascii="仿宋_GB2312" w:hAnsi="宋体" w:eastAsia="宋体" w:cs="Times New Roman"/>
          <w:sz w:val="32"/>
          <w:szCs w:val="32"/>
          <w:u w:val="single"/>
        </w:rPr>
      </w:pPr>
    </w:p>
    <w:p>
      <w:pPr>
        <w:spacing w:before="100" w:beforeAutospacing="1" w:after="100" w:afterAutospacing="1" w:line="312" w:lineRule="auto"/>
        <w:ind w:firstLine="899" w:firstLineChars="281"/>
        <w:rPr>
          <w:rFonts w:ascii="仿宋_GB2312" w:hAnsi="宋体" w:eastAsia="宋体" w:cs="Times New Roman"/>
          <w:sz w:val="32"/>
          <w:szCs w:val="32"/>
        </w:rPr>
      </w:pPr>
      <w:r>
        <w:rPr>
          <w:rFonts w:hint="eastAsia" w:ascii="仿宋_GB2312" w:hAnsi="宋体" w:eastAsia="宋体" w:cs="Times New Roman"/>
          <w:sz w:val="32"/>
          <w:szCs w:val="32"/>
        </w:rPr>
        <w:t>部门名称</w:t>
      </w:r>
      <w:r>
        <w:rPr>
          <w:rFonts w:hint="eastAsia" w:ascii="仿宋_GB2312" w:hAnsi="宋体" w:eastAsia="宋体" w:cs="Times New Roman"/>
          <w:sz w:val="32"/>
          <w:szCs w:val="32"/>
          <w:u w:val="single"/>
        </w:rPr>
        <w:t xml:space="preserve"> </w:t>
      </w:r>
      <w:r>
        <w:rPr>
          <w:rFonts w:hint="eastAsia" w:ascii="仿宋_GB2312" w:hAnsi="仿宋_GB2312" w:eastAsia="仿宋_GB2312" w:cs="仿宋_GB2312"/>
          <w:kern w:val="2"/>
          <w:sz w:val="30"/>
          <w:szCs w:val="30"/>
          <w:u w:val="single"/>
          <w:lang w:val="en-US" w:eastAsia="zh-CN" w:bidi="ar-SA"/>
        </w:rPr>
        <w:t>北京市西城区人民政府展览路街道办事处</w:t>
      </w:r>
      <w:r>
        <w:rPr>
          <w:rFonts w:hint="eastAsia" w:ascii="仿宋_GB2312" w:hAnsi="宋体" w:eastAsia="宋体" w:cs="Times New Roman"/>
          <w:sz w:val="30"/>
          <w:szCs w:val="30"/>
          <w:u w:val="single"/>
        </w:rPr>
        <w:t xml:space="preserve">       </w:t>
      </w:r>
      <w:r>
        <w:rPr>
          <w:rFonts w:hint="eastAsia" w:ascii="仿宋_GB2312" w:hAnsi="宋体" w:eastAsia="宋体" w:cs="Times New Roman"/>
          <w:sz w:val="32"/>
          <w:szCs w:val="32"/>
          <w:u w:val="single"/>
        </w:rPr>
        <w:t xml:space="preserve">                </w:t>
      </w:r>
    </w:p>
    <w:p>
      <w:pPr>
        <w:adjustRightInd w:val="0"/>
        <w:snapToGrid w:val="0"/>
        <w:spacing w:line="560" w:lineRule="exact"/>
        <w:ind w:left="2558" w:leftChars="456" w:hanging="1600" w:hangingChars="500"/>
        <w:jc w:val="both"/>
        <w:rPr>
          <w:rFonts w:hint="eastAsia" w:ascii="仿宋_GB2312" w:hAnsi="仿宋_GB2312" w:eastAsia="仿宋_GB2312" w:cs="仿宋_GB2312"/>
          <w:kern w:val="2"/>
          <w:sz w:val="30"/>
          <w:szCs w:val="30"/>
          <w:u w:val="single"/>
          <w:lang w:val="en-US" w:eastAsia="zh-CN" w:bidi="ar-SA"/>
        </w:rPr>
      </w:pPr>
      <w:r>
        <w:rPr>
          <w:rFonts w:hint="eastAsia" w:ascii="仿宋_GB2312" w:hAnsi="宋体" w:eastAsia="宋体" w:cs="Times New Roman"/>
          <w:sz w:val="32"/>
          <w:szCs w:val="32"/>
        </w:rPr>
        <w:t>项目名称</w:t>
      </w:r>
      <w:r>
        <w:rPr>
          <w:rFonts w:hint="eastAsia" w:ascii="仿宋_GB2312" w:hAnsi="宋体" w:eastAsia="宋体" w:cs="Times New Roman"/>
          <w:sz w:val="32"/>
          <w:szCs w:val="32"/>
          <w:lang w:val="en-US" w:eastAsia="zh-CN"/>
        </w:rPr>
        <w:t xml:space="preserve">  </w:t>
      </w:r>
      <w:r>
        <w:rPr>
          <w:rFonts w:hint="eastAsia" w:ascii="仿宋_GB2312" w:hAnsi="仿宋_GB2312" w:eastAsia="仿宋_GB2312" w:cs="仿宋_GB2312"/>
          <w:kern w:val="2"/>
          <w:sz w:val="30"/>
          <w:szCs w:val="30"/>
          <w:u w:val="single"/>
          <w:lang w:val="en-US" w:eastAsia="zh-CN" w:bidi="ar-SA"/>
        </w:rPr>
        <w:t xml:space="preserve">  社区党组织服务群众工作经费  </w:t>
      </w:r>
    </w:p>
    <w:p>
      <w:pPr>
        <w:adjustRightInd w:val="0"/>
        <w:snapToGrid w:val="0"/>
        <w:spacing w:line="560" w:lineRule="exact"/>
        <w:ind w:left="2449" w:leftChars="1166" w:firstLine="0" w:firstLineChars="0"/>
        <w:jc w:val="both"/>
        <w:rPr>
          <w:rFonts w:hint="default" w:ascii="仿宋_GB2312" w:hAnsi="仿宋_GB2312" w:eastAsia="仿宋_GB2312" w:cs="仿宋_GB2312"/>
          <w:b w:val="0"/>
          <w:bCs w:val="0"/>
          <w:kern w:val="2"/>
          <w:sz w:val="30"/>
          <w:szCs w:val="30"/>
          <w:u w:val="single"/>
          <w:lang w:val="en-US" w:eastAsia="zh-CN" w:bidi="ar-SA"/>
        </w:rPr>
      </w:pPr>
      <w:r>
        <w:rPr>
          <w:rFonts w:hint="eastAsia" w:ascii="仿宋_GB2312" w:hAnsi="仿宋_GB2312" w:eastAsia="仿宋_GB2312" w:cs="仿宋_GB2312"/>
          <w:kern w:val="2"/>
          <w:sz w:val="30"/>
          <w:szCs w:val="30"/>
          <w:u w:val="single"/>
          <w:lang w:val="en-US" w:eastAsia="zh-CN" w:bidi="ar-SA"/>
        </w:rPr>
        <w:t xml:space="preserve">  京财党政群指[2023]1756号提前下达城乡基层党组织服务群众经费   </w:t>
      </w:r>
    </w:p>
    <w:p>
      <w:pPr>
        <w:jc w:val="center"/>
        <w:rPr>
          <w:rFonts w:ascii="Arial" w:hAnsi="Arial" w:eastAsia="宋体" w:cs="Arial"/>
          <w:b/>
          <w:bCs/>
          <w:sz w:val="44"/>
          <w:szCs w:val="44"/>
        </w:rPr>
      </w:pPr>
      <w:r>
        <w:rPr>
          <w:rFonts w:ascii="仿宋_GB2312" w:hAnsi="宋体" w:eastAsia="宋体" w:cs="Times New Roman"/>
          <w:sz w:val="32"/>
          <w:szCs w:val="32"/>
          <w:u w:val="single"/>
        </w:rPr>
        <w:br w:type="page"/>
      </w:r>
      <w:r>
        <w:rPr>
          <w:rFonts w:hint="eastAsia" w:ascii="宋体" w:hAnsi="宋体" w:eastAsia="宋体" w:cs="Arial"/>
          <w:b/>
          <w:bCs/>
          <w:sz w:val="44"/>
          <w:szCs w:val="44"/>
        </w:rPr>
        <w:t>项目支出</w:t>
      </w:r>
      <w:r>
        <w:rPr>
          <w:rFonts w:ascii="宋体" w:hAnsi="宋体" w:eastAsia="宋体" w:cs="Arial"/>
          <w:b/>
          <w:bCs/>
          <w:sz w:val="44"/>
          <w:szCs w:val="44"/>
        </w:rPr>
        <w:t>绩效</w:t>
      </w:r>
      <w:r>
        <w:rPr>
          <w:rFonts w:hint="eastAsia" w:ascii="宋体" w:hAnsi="宋体" w:eastAsia="宋体" w:cs="Arial"/>
          <w:b/>
          <w:bCs/>
          <w:sz w:val="44"/>
          <w:szCs w:val="44"/>
        </w:rPr>
        <w:t>评价报告</w:t>
      </w:r>
    </w:p>
    <w:p>
      <w:pPr>
        <w:jc w:val="center"/>
        <w:rPr>
          <w:rFonts w:ascii="仿宋_GB2312" w:hAnsi="Times New Roman" w:eastAsia="宋体" w:cs="Times New Roman"/>
          <w:szCs w:val="24"/>
        </w:rPr>
      </w:pPr>
    </w:p>
    <w:p>
      <w:pPr>
        <w:jc w:val="center"/>
        <w:rPr>
          <w:rFonts w:ascii="仿宋_GB2312" w:hAnsi="Times New Roman" w:eastAsia="宋体" w:cs="Times New Roman"/>
          <w:szCs w:val="30"/>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展览路街道23个社区党组织服务群众项目经费预算总额为</w:t>
      </w:r>
      <w:r>
        <w:rPr>
          <w:rFonts w:hint="eastAsia" w:ascii="仿宋_GB2312" w:hAnsi="仿宋_GB2312" w:eastAsia="仿宋_GB2312" w:cs="仿宋_GB2312"/>
          <w:sz w:val="32"/>
          <w:szCs w:val="32"/>
          <w:lang w:val="en-US" w:eastAsia="zh-CN"/>
        </w:rPr>
        <w:t>920</w:t>
      </w:r>
      <w:r>
        <w:rPr>
          <w:rFonts w:hint="eastAsia" w:ascii="仿宋_GB2312" w:hAnsi="仿宋_GB2312" w:eastAsia="仿宋_GB2312" w:cs="仿宋_GB2312"/>
          <w:sz w:val="32"/>
          <w:szCs w:val="32"/>
        </w:rPr>
        <w:t>万元，主要用于便民服务、志愿公益、群众活动、关爱帮扶、</w:t>
      </w:r>
      <w:r>
        <w:rPr>
          <w:rFonts w:hint="eastAsia" w:ascii="仿宋_GB2312" w:hAnsi="仿宋_GB2312" w:eastAsia="仿宋_GB2312" w:cs="仿宋_GB2312"/>
          <w:sz w:val="32"/>
          <w:szCs w:val="32"/>
          <w:lang w:eastAsia="zh-CN"/>
        </w:rPr>
        <w:t>应急保障、</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支撑</w:t>
      </w:r>
      <w:r>
        <w:rPr>
          <w:rFonts w:hint="eastAsia" w:ascii="仿宋_GB2312" w:hAnsi="仿宋_GB2312" w:eastAsia="仿宋_GB2312" w:cs="仿宋_GB2312"/>
          <w:sz w:val="32"/>
          <w:szCs w:val="32"/>
        </w:rPr>
        <w:t>及居民群众迫切需要提供的其他服务事项。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工程类项目：便民服务场所装饰改造、</w:t>
      </w:r>
      <w:r>
        <w:rPr>
          <w:rFonts w:hint="eastAsia" w:ascii="仿宋_GB2312" w:hAnsi="仿宋_GB2312" w:eastAsia="仿宋_GB2312" w:cs="仿宋_GB2312"/>
          <w:sz w:val="32"/>
          <w:szCs w:val="32"/>
          <w:lang w:eastAsia="zh-CN"/>
        </w:rPr>
        <w:t>修建步道、</w:t>
      </w:r>
      <w:r>
        <w:rPr>
          <w:rFonts w:hint="eastAsia" w:ascii="仿宋_GB2312" w:hAnsi="仿宋_GB2312" w:eastAsia="仿宋_GB2312" w:cs="仿宋_GB2312"/>
          <w:sz w:val="32"/>
          <w:szCs w:val="32"/>
        </w:rPr>
        <w:t>路面修复</w:t>
      </w:r>
      <w:r>
        <w:rPr>
          <w:rFonts w:hint="eastAsia" w:ascii="仿宋_GB2312" w:hAnsi="仿宋_GB2312" w:eastAsia="仿宋_GB2312" w:cs="仿宋_GB2312"/>
          <w:sz w:val="32"/>
          <w:szCs w:val="32"/>
          <w:lang w:eastAsia="zh-CN"/>
        </w:rPr>
        <w:t>、安装或维修车</w:t>
      </w:r>
      <w:r>
        <w:rPr>
          <w:rFonts w:hint="eastAsia" w:ascii="仿宋_GB2312" w:hAnsi="仿宋_GB2312" w:eastAsia="仿宋_GB2312" w:cs="仿宋_GB2312"/>
          <w:sz w:val="32"/>
          <w:szCs w:val="32"/>
        </w:rPr>
        <w:t>棚、</w:t>
      </w:r>
      <w:r>
        <w:rPr>
          <w:rFonts w:hint="eastAsia" w:ascii="仿宋_GB2312" w:hAnsi="仿宋_GB2312" w:eastAsia="仿宋_GB2312" w:cs="仿宋_GB2312"/>
          <w:sz w:val="32"/>
          <w:szCs w:val="32"/>
          <w:lang w:eastAsia="zh-CN"/>
        </w:rPr>
        <w:t>安装旗杆、</w:t>
      </w:r>
      <w:r>
        <w:rPr>
          <w:rFonts w:hint="eastAsia" w:ascii="仿宋_GB2312" w:hAnsi="仿宋_GB2312" w:eastAsia="仿宋_GB2312" w:cs="仿宋_GB2312"/>
          <w:sz w:val="32"/>
          <w:szCs w:val="32"/>
        </w:rPr>
        <w:t>更换楼道窗户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27类</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。2、居民群众迫切需要提供的其他服务事项：</w:t>
      </w:r>
      <w:r>
        <w:rPr>
          <w:rFonts w:hint="eastAsia" w:ascii="仿宋_GB2312" w:hAnsi="仿宋_GB2312" w:eastAsia="仿宋_GB2312" w:cs="仿宋_GB2312"/>
          <w:b w:val="0"/>
          <w:bCs w:val="0"/>
          <w:sz w:val="32"/>
          <w:szCs w:val="32"/>
          <w:lang w:val="en-US" w:eastAsia="zh-CN"/>
        </w:rPr>
        <w:t>9个社区党组织上报的</w:t>
      </w:r>
      <w:r>
        <w:rPr>
          <w:rFonts w:hint="eastAsia" w:ascii="仿宋_GB2312" w:hAnsi="仿宋_GB2312" w:eastAsia="仿宋_GB2312" w:cs="仿宋_GB2312"/>
          <w:sz w:val="32"/>
          <w:szCs w:val="32"/>
          <w:lang w:val="en-US" w:eastAsia="zh-CN"/>
        </w:rPr>
        <w:t>居民群众迫切需要提供的其他服务事项有除草服务、</w:t>
      </w:r>
      <w:r>
        <w:rPr>
          <w:rFonts w:hint="eastAsia" w:ascii="仿宋_GB2312" w:hAnsi="仿宋_GB2312" w:eastAsia="仿宋_GB2312" w:cs="仿宋_GB2312"/>
          <w:b w:val="0"/>
          <w:bCs w:val="0"/>
          <w:sz w:val="32"/>
          <w:szCs w:val="32"/>
          <w:lang w:val="en-US" w:eastAsia="zh-CN"/>
        </w:rPr>
        <w:t>树木修剪、安装灭蚊灯、文化墙绘制、购置消防器材等。3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群众活动</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pacing w:val="-2"/>
          <w:sz w:val="32"/>
          <w:szCs w:val="32"/>
          <w:lang w:val="en-US" w:eastAsia="zh-CN"/>
        </w:rPr>
        <w:t>12个社区党组织上报了节日演出、传统文化活动、全民健身活动、科普进社区等。</w:t>
      </w:r>
      <w:r>
        <w:rPr>
          <w:rFonts w:hint="eastAsia" w:ascii="仿宋_GB2312" w:hAnsi="仿宋_GB2312" w:eastAsia="仿宋_GB2312" w:cs="仿宋_GB2312"/>
          <w:sz w:val="32"/>
          <w:szCs w:val="32"/>
          <w:lang w:val="en-US" w:eastAsia="zh-CN"/>
        </w:rPr>
        <w:t>4、志愿公益类项目：新华南社区的“爱我中华 邮品展现”项目。新华里社区的“和谐雅集”项目；洪茂沟社区的“红帽有您，您有红帽”社区服务、“声声不息”红帽宣讲进社区聚民心、“延续红帽精神，强化服务品牌”等项目。</w:t>
      </w:r>
      <w:r>
        <w:rPr>
          <w:rFonts w:hint="eastAsia" w:ascii="仿宋_GB2312" w:hAnsi="仿宋_GB2312" w:eastAsia="仿宋_GB2312" w:cs="仿宋_GB2312"/>
          <w:spacing w:val="-2"/>
          <w:sz w:val="32"/>
          <w:szCs w:val="32"/>
          <w:lang w:val="en-US" w:eastAsia="zh-CN"/>
        </w:rPr>
        <w:t>5、便民服务类项目：新华东社区的“1公里便民服务”项目；榆树馆社区的“关爱社区高龄、困难人群”项目；洪茂沟社区的“用心用情伴成长，守护居民好生活”系列活动、“交换美好，旧物回收”活动、“红帽帮忙”服务大集活动等。</w:t>
      </w:r>
      <w:r>
        <w:rPr>
          <w:rFonts w:hint="eastAsia" w:ascii="仿宋_GB2312" w:hAnsi="仿宋_GB2312" w:eastAsia="仿宋_GB2312" w:cs="仿宋_GB2312"/>
          <w:sz w:val="32"/>
          <w:szCs w:val="32"/>
          <w:lang w:val="en-US" w:eastAsia="zh-CN"/>
        </w:rPr>
        <w:t>6、关爱帮扶类项目：洪茂沟社区的“关心关爱抚人心”计划，对辖区内符合救助条件的困难居民群众进行救助，计划1-2户家庭。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pacing w:val="-2"/>
          <w:kern w:val="2"/>
          <w:sz w:val="32"/>
          <w:szCs w:val="32"/>
          <w:lang w:val="en-US" w:eastAsia="zh-CN" w:bidi="ar-SA"/>
        </w:rPr>
        <w:t>2024年度社区党组织服务群众项目完成 98个项目（其中工程类57个、活动类18个、便民服务类5个、志愿公益类5个、其他服务事项13个），社区申报应急项目40个，经费共支出8988025.24元，完成率97.69%。</w:t>
      </w:r>
      <w:r>
        <w:rPr>
          <w:rFonts w:hint="eastAsia" w:ascii="仿宋_GB2312" w:hAnsi="仿宋_GB2312" w:eastAsia="仿宋_GB2312" w:cs="仿宋_GB2312"/>
          <w:spacing w:val="-2"/>
          <w:kern w:val="2"/>
          <w:sz w:val="32"/>
          <w:szCs w:val="32"/>
          <w:highlight w:val="none"/>
          <w:lang w:val="en-US" w:eastAsia="zh-CN" w:bidi="ar-SA"/>
        </w:rPr>
        <w:t>两批</w:t>
      </w:r>
      <w:r>
        <w:rPr>
          <w:rFonts w:hint="eastAsia" w:ascii="仿宋_GB2312" w:hAnsi="仿宋_GB2312" w:eastAsia="仿宋_GB2312" w:cs="仿宋_GB2312"/>
          <w:color w:val="auto"/>
          <w:sz w:val="32"/>
          <w:szCs w:val="32"/>
          <w:highlight w:val="none"/>
        </w:rPr>
        <w:t>社区党组织服务群众（工程类）项目</w:t>
      </w:r>
      <w:r>
        <w:rPr>
          <w:rFonts w:hint="eastAsia" w:ascii="仿宋_GB2312" w:hAnsi="仿宋_GB2312" w:eastAsia="仿宋_GB2312" w:cs="仿宋_GB2312"/>
          <w:color w:val="auto"/>
          <w:sz w:val="32"/>
          <w:szCs w:val="32"/>
          <w:highlight w:val="none"/>
          <w:lang w:val="en-US" w:eastAsia="zh-CN"/>
        </w:rPr>
        <w:t>尾款100余万元</w:t>
      </w:r>
      <w:r>
        <w:rPr>
          <w:rFonts w:hint="eastAsia" w:ascii="仿宋_GB2312" w:hAnsi="仿宋_GB2312" w:eastAsia="仿宋_GB2312" w:cs="仿宋_GB2312"/>
          <w:color w:val="auto"/>
          <w:sz w:val="32"/>
          <w:szCs w:val="32"/>
          <w:highlight w:val="none"/>
        </w:rPr>
        <w:t>拟</w:t>
      </w:r>
      <w:r>
        <w:rPr>
          <w:rFonts w:hint="eastAsia" w:ascii="仿宋_GB2312" w:hAnsi="仿宋_GB2312" w:eastAsia="仿宋_GB2312" w:cs="仿宋_GB2312"/>
          <w:color w:val="auto"/>
          <w:sz w:val="32"/>
          <w:szCs w:val="32"/>
          <w:highlight w:val="none"/>
          <w:lang w:eastAsia="zh-CN"/>
        </w:rPr>
        <w:t>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5年度经费中列支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项目绩效目标。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总体目标：</w:t>
      </w:r>
      <w:r>
        <w:rPr>
          <w:rFonts w:hint="eastAsia" w:ascii="仿宋_GB2312" w:hAnsi="仿宋_GB2312" w:eastAsia="仿宋_GB2312" w:cs="仿宋_GB2312"/>
          <w:color w:val="000000" w:themeColor="text1"/>
          <w:sz w:val="32"/>
          <w:szCs w:val="32"/>
          <w14:textFill>
            <w14:solidFill>
              <w14:schemeClr w14:val="tx1"/>
            </w14:solidFill>
          </w14:textFill>
        </w:rPr>
        <w:t>提升社区居民的生活质量，增强党组织的凝聚力和影响力，以及推动社区的和谐发展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增强党组织的群众基础和服务能力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建立健全社区服务体系，提高服务效率和质量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提升社区居民的满意度和幸福感。</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阶段性目标：完成社区基础设施的改善和升级，如</w:t>
      </w:r>
      <w:r>
        <w:rPr>
          <w:rFonts w:hint="eastAsia" w:ascii="仿宋_GB2312" w:hAnsi="仿宋_GB2312" w:eastAsia="仿宋_GB2312" w:cs="仿宋_GB2312"/>
          <w:color w:val="000000" w:themeColor="text1"/>
          <w:sz w:val="32"/>
          <w:szCs w:val="32"/>
          <w:lang w:eastAsia="zh-CN"/>
          <w14:textFill>
            <w14:solidFill>
              <w14:schemeClr w14:val="tx1"/>
            </w14:solidFill>
          </w14:textFill>
        </w:rPr>
        <w:t>小区内路面修缮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楼道粉刷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安装扶手、自行车棚改造</w:t>
      </w:r>
      <w:r>
        <w:rPr>
          <w:rFonts w:hint="eastAsia" w:ascii="仿宋_GB2312" w:hAnsi="仿宋_GB2312" w:eastAsia="仿宋_GB2312" w:cs="仿宋_GB2312"/>
          <w:color w:val="000000" w:themeColor="text1"/>
          <w:sz w:val="32"/>
          <w:szCs w:val="32"/>
          <w14:textFill>
            <w14:solidFill>
              <w14:schemeClr w14:val="tx1"/>
            </w14:solidFill>
          </w14:textFill>
        </w:rPr>
        <w:t>等。开展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次社区文化活动，参与居民达到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3万</w:t>
      </w:r>
      <w:r>
        <w:rPr>
          <w:rFonts w:hint="eastAsia" w:ascii="仿宋_GB2312" w:hAnsi="仿宋_GB2312" w:eastAsia="仿宋_GB2312" w:cs="仿宋_GB2312"/>
          <w:color w:val="000000" w:themeColor="text1"/>
          <w:sz w:val="32"/>
          <w:szCs w:val="32"/>
          <w14:textFill>
            <w14:solidFill>
              <w14:schemeClr w14:val="tx1"/>
            </w14:solidFill>
          </w14:textFill>
        </w:rPr>
        <w:t>人次。解决社区居民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12345”</w:t>
      </w:r>
      <w:r>
        <w:rPr>
          <w:rFonts w:hint="eastAsia" w:ascii="仿宋_GB2312" w:hAnsi="仿宋_GB2312" w:eastAsia="仿宋_GB2312" w:cs="仿宋_GB2312"/>
          <w:color w:val="000000" w:themeColor="text1"/>
          <w:sz w:val="32"/>
          <w:szCs w:val="32"/>
          <w14:textFill>
            <w14:solidFill>
              <w14:schemeClr w14:val="tx1"/>
            </w14:solidFill>
          </w14:textFill>
        </w:rPr>
        <w:t>反映的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14:textFill>
            <w14:solidFill>
              <w14:schemeClr w14:val="tx1"/>
            </w14:solidFill>
          </w14:textFill>
        </w:rPr>
        <w:t>个突出问题，如</w:t>
      </w:r>
      <w:r>
        <w:rPr>
          <w:rFonts w:hint="eastAsia" w:ascii="仿宋_GB2312" w:hAnsi="仿宋_GB2312" w:eastAsia="仿宋_GB2312" w:cs="仿宋_GB2312"/>
          <w:color w:val="000000" w:themeColor="text1"/>
          <w:sz w:val="32"/>
          <w:szCs w:val="32"/>
          <w:lang w:eastAsia="zh-CN"/>
          <w14:textFill>
            <w14:solidFill>
              <w14:schemeClr w14:val="tx1"/>
            </w14:solidFill>
          </w14:textFill>
        </w:rPr>
        <w:t>下水管道改造、路灯维修、树木修剪</w:t>
      </w:r>
      <w:r>
        <w:rPr>
          <w:rFonts w:hint="eastAsia" w:ascii="仿宋_GB2312" w:hAnsi="仿宋_GB2312" w:eastAsia="仿宋_GB2312" w:cs="仿宋_GB2312"/>
          <w:color w:val="000000" w:themeColor="text1"/>
          <w:sz w:val="32"/>
          <w:szCs w:val="32"/>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绩效评价工作开展情况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（一）绩效评价目的、对象和范围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提升服务品质，关爱每位居民</w:t>
      </w:r>
      <w:r>
        <w:rPr>
          <w:rFonts w:hint="eastAsia" w:ascii="仿宋_GB2312" w:hAnsi="仿宋_GB2312" w:eastAsia="仿宋_GB2312" w:cs="仿宋_GB2312"/>
          <w:color w:val="000000" w:themeColor="text1"/>
          <w:sz w:val="32"/>
          <w:szCs w:val="32"/>
          <w14:textFill>
            <w14:solidFill>
              <w14:schemeClr w14:val="tx1"/>
            </w14:solidFill>
          </w14:textFill>
        </w:rPr>
        <w:t>，提升服务质量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社区党组织实施的服务群众项目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，服务对象是居民群众，不能超范围使用。</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绩效评价原则</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坚持科学公</w:t>
      </w:r>
      <w:r>
        <w:rPr>
          <w:rFonts w:hint="eastAsia" w:ascii="仿宋_GB2312" w:hAnsi="仿宋_GB2312" w:eastAsia="仿宋_GB2312" w:cs="仿宋_GB2312"/>
          <w:color w:val="000000" w:themeColor="text1"/>
          <w:sz w:val="32"/>
          <w:szCs w:val="32"/>
          <w14:textFill>
            <w14:solidFill>
              <w14:schemeClr w14:val="tx1"/>
            </w14:solidFill>
          </w14:textFill>
        </w:rPr>
        <w:t>客观性、公正性、科学性、实用性。</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评价指标体系：社区提供更优质的服务，让每一位居民感受到党组织的关怀和温暖。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评价方法：社区党组织根据项目特点和需求，灵活运用定性和定量评价方法，通过居民会议、党员大会、入户调查、微信群等多种形式，向居民了解服务质量、效率、满意度等方面，确保项目评价的准确性和针对性。</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评价标准：居民对服务质量和满意程度。</w:t>
      </w:r>
    </w:p>
    <w:p>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（三）绩效评价工作过程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1.目标设定：</w:t>
      </w:r>
      <w:r>
        <w:rPr>
          <w:rFonts w:hint="eastAsia" w:ascii="仿宋_GB2312" w:hAnsi="仿宋_GB2312" w:eastAsia="仿宋_GB2312" w:cs="仿宋_GB2312"/>
          <w:color w:val="000000" w:themeColor="text1"/>
          <w:sz w:val="32"/>
          <w:szCs w:val="32"/>
          <w14:textFill>
            <w14:solidFill>
              <w14:schemeClr w14:val="tx1"/>
            </w14:solidFill>
          </w14:textFill>
        </w:rPr>
        <w:t>经费按照专款专用、公开公正、勤俭节约的原则，经费实行项目化管理，完善党组织领导、多方参与的资金决策程序，持续提高资金使用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效率。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2.数据收集：</w:t>
      </w:r>
      <w:r>
        <w:rPr>
          <w:rFonts w:hint="eastAsia" w:ascii="仿宋_GB2312" w:hAnsi="仿宋_GB2312" w:eastAsia="仿宋_GB2312" w:cs="仿宋_GB2312"/>
          <w:color w:val="000000" w:themeColor="text1"/>
          <w:sz w:val="32"/>
          <w:szCs w:val="32"/>
          <w14:textFill>
            <w14:solidFill>
              <w14:schemeClr w14:val="tx1"/>
            </w14:solidFill>
          </w14:textFill>
        </w:rPr>
        <w:t>社区党组织综合分析12345市民服务热线群众高频诉求，并通过入户走访、意见箱、微信群、集中座谈等形式了解掌握群众“急难愁盼”问题，向党员群众广泛征集关于经费使用的意见建议，突出征集的针对性、指向性，划定初步项目范围。</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3.数据分析：</w:t>
      </w:r>
      <w:r>
        <w:rPr>
          <w:rFonts w:hint="eastAsia" w:ascii="仿宋_GB2312" w:hAnsi="仿宋_GB2312" w:eastAsia="仿宋_GB2312" w:cs="仿宋_GB2312"/>
          <w:color w:val="000000" w:themeColor="text1"/>
          <w:sz w:val="32"/>
          <w:szCs w:val="32"/>
          <w14:textFill>
            <w14:solidFill>
              <w14:schemeClr w14:val="tx1"/>
            </w14:solidFill>
          </w14:textFill>
        </w:rPr>
        <w:t>社区党组织根据党员群众实际需求，结合公益事业金使用、物业服务计划、区域化党建工作等情况，于每年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月底前拟定</w:t>
      </w:r>
      <w:r>
        <w:rPr>
          <w:rFonts w:hint="eastAsia" w:ascii="仿宋_GB2312" w:hAnsi="仿宋_GB2312" w:eastAsia="仿宋_GB2312" w:cs="仿宋_GB2312"/>
          <w:color w:val="000000" w:themeColor="text1"/>
          <w:sz w:val="32"/>
          <w:szCs w:val="32"/>
          <w:lang w:eastAsia="zh-CN"/>
          <w14:textFill>
            <w14:solidFill>
              <w14:schemeClr w14:val="tx1"/>
            </w14:solidFill>
          </w14:textFill>
        </w:rPr>
        <w:t>下一年度</w:t>
      </w:r>
      <w:r>
        <w:rPr>
          <w:rFonts w:hint="eastAsia" w:ascii="仿宋_GB2312" w:hAnsi="仿宋_GB2312" w:eastAsia="仿宋_GB2312" w:cs="仿宋_GB2312"/>
          <w:color w:val="000000" w:themeColor="text1"/>
          <w:sz w:val="32"/>
          <w:szCs w:val="32"/>
          <w14:textFill>
            <w14:solidFill>
              <w14:schemeClr w14:val="tx1"/>
            </w14:solidFill>
          </w14:textFill>
        </w:rPr>
        <w:t>经费使用计划和服务群众项目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w:t>
      </w:r>
      <w:r>
        <w:rPr>
          <w:rFonts w:hint="eastAsia" w:ascii="仿宋_GB2312" w:hAnsi="仿宋_GB2312" w:eastAsia="仿宋_GB2312" w:cs="仿宋_GB2312"/>
          <w:color w:val="000000" w:themeColor="text1"/>
          <w:sz w:val="32"/>
          <w:szCs w:val="32"/>
          <w14:textFill>
            <w14:solidFill>
              <w14:schemeClr w14:val="tx1"/>
            </w14:solidFill>
          </w14:textFill>
        </w:rPr>
        <w:t>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4.建议提出：根据评价结果，提出改进建议和措施，以提升项目的绩效和效益。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通过以上工作过程，全面客观地评估社区党组织服务群众项目支出的绩效，为项目管理和决策提供科学依据，进一步提升社区服务的质量和效果。</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综合评价情况及评价结论</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社区党组织服务群众项目支出的绩效表现显著，为社区居民带来了实实在在的改善。大部分项目在实现目标、资金使用效率和服务质量方面表现优秀。然而，可持续发展性仍然需要关注和加强，以确保项目的长期发展和居民的持续受益。</w:t>
      </w:r>
    </w:p>
    <w:p>
      <w:pPr>
        <w:pStyle w:val="2"/>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绩效评价指标分析</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项目决策情况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社区党组织将经费年度使用计划和服务群众项目申报书提请党员大会审议。街道工委</w:t>
      </w:r>
      <w:r>
        <w:rPr>
          <w:rFonts w:hint="eastAsia" w:ascii="仿宋_GB2312" w:hAnsi="仿宋_GB2312" w:eastAsia="仿宋_GB2312" w:cs="仿宋_GB2312"/>
          <w:color w:val="000000" w:themeColor="text1"/>
          <w:sz w:val="32"/>
          <w:szCs w:val="32"/>
          <w:lang w:eastAsia="zh-CN"/>
          <w14:textFill>
            <w14:solidFill>
              <w14:schemeClr w14:val="tx1"/>
            </w14:solidFill>
          </w14:textFill>
        </w:rPr>
        <w:t>召开</w:t>
      </w:r>
      <w:r>
        <w:rPr>
          <w:rFonts w:hint="eastAsia" w:ascii="仿宋_GB2312" w:hAnsi="仿宋_GB2312" w:eastAsia="仿宋_GB2312" w:cs="仿宋_GB2312"/>
          <w:color w:val="000000" w:themeColor="text1"/>
          <w:sz w:val="32"/>
          <w:szCs w:val="32"/>
          <w14:textFill>
            <w14:solidFill>
              <w14:schemeClr w14:val="tx1"/>
            </w14:solidFill>
          </w14:textFill>
        </w:rPr>
        <w:t>专题研究审议经费年度使用计划和项目申报书，对经费年度使用计划和服务群众项目申报书进行审批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项目过程情况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：征集意见、制定计划、党员审议、街道审批、组织实施、结果公示。</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项目产</w:t>
      </w:r>
      <w:bookmarkStart w:id="2" w:name="_GoBack"/>
      <w:bookmarkEnd w:id="2"/>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出情况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个社区每年40万元的标准核定社区党组织服务群众经费</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，其中市财政拨付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20万元，区财政拨付20万元。23个社区总额920万元。</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项目效益情况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重点解决社区群众最关切的问题，各社区申报服务群众项目，切实加强与居民群众的交流互动，密切党群关系，发挥基层党组织战斗堡垒作用和党员干部模范先锋作用。美化社区环境，对于提高文明城区建设有直接影响。及时了解群众需求，真正做到根据需求定项目，确保每一步骤均有居民群众参与和表决，并及时公布各阶段项目进行情况，让专项经费的使用真正用到居民最关心、最急切需要的地方。</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五、主要经验及做法、存在的问题及原因分析</w:t>
      </w:r>
    </w:p>
    <w:p>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（一）主要经验及做法</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党组织服务群众经费是社区党组织凝聚群众、服务群众、教育群众、组织群众的重要途径，是树立党组织形象，传递党和政府关怀的重要窗口。展览路街道在推动社区党组织服务群众经费使用管理科学、合理、精准上，主要把握了“四个不放松”。</w:t>
      </w:r>
    </w:p>
    <w:p>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一是坚持审议把关不放松。</w:t>
      </w:r>
      <w:r>
        <w:rPr>
          <w:rFonts w:hint="eastAsia" w:ascii="仿宋_GB2312" w:hAnsi="仿宋_GB2312" w:eastAsia="仿宋_GB2312" w:cs="仿宋_GB2312"/>
          <w:sz w:val="32"/>
          <w:szCs w:val="32"/>
        </w:rPr>
        <w:t>确保把每一分钱都用在服务群众上，所有党服项目经过造价测算再研究，同时明确责任部门、责任人，确保社区时时有人抓，处处有人盯，事事有人问。</w:t>
      </w:r>
    </w:p>
    <w:p>
      <w:pPr>
        <w:pStyle w:val="2"/>
        <w:keepNext w:val="0"/>
        <w:keepLines w:val="0"/>
        <w:pageBreakBefore w:val="0"/>
        <w:widowControl w:val="0"/>
        <w:kinsoku/>
        <w:wordWrap/>
        <w:overflowPunct/>
        <w:topLinePunct w:val="0"/>
        <w:autoSpaceDE/>
        <w:autoSpaceDN/>
        <w:bidi w:val="0"/>
        <w:adjustRightInd/>
        <w:spacing w:line="560" w:lineRule="exact"/>
        <w:ind w:firstLine="803"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二是坚持完善制度不放松。</w:t>
      </w:r>
      <w:r>
        <w:rPr>
          <w:rFonts w:hint="eastAsia" w:ascii="仿宋_GB2312" w:hAnsi="仿宋_GB2312" w:eastAsia="仿宋_GB2312" w:cs="仿宋_GB2312"/>
          <w:sz w:val="32"/>
          <w:szCs w:val="32"/>
        </w:rPr>
        <w:t>确保预定项目计划不少项、不漏项、不改项，确保经费始终能够用在群众最需要的环境改善上，群众最期盼的设施维护上，进一步提高经费使用的科学化、规范化、有效化。</w:t>
      </w:r>
    </w:p>
    <w:p>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三是坚持培训指导不放松</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及时指导社区通过入户走访、意见箱、微信群、集中座谈等形式征集项目，确保每一笔经费、每一个项目、每一件事项都与群众需求高度吻合，与负面清单高度绝缘。</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A6E781"/>
    <w:multiLevelType w:val="singleLevel"/>
    <w:tmpl w:val="FFA6E781"/>
    <w:lvl w:ilvl="0" w:tentative="0">
      <w:start w:val="1"/>
      <w:numFmt w:val="decimal"/>
      <w:suff w:val="nothing"/>
      <w:lvlText w:val="%1、"/>
      <w:lvlJc w:val="left"/>
    </w:lvl>
  </w:abstractNum>
  <w:abstractNum w:abstractNumId="1">
    <w:nsid w:val="21A4CD08"/>
    <w:multiLevelType w:val="singleLevel"/>
    <w:tmpl w:val="21A4CD08"/>
    <w:lvl w:ilvl="0" w:tentative="0">
      <w:start w:val="1"/>
      <w:numFmt w:val="chineseCounting"/>
      <w:suff w:val="nothing"/>
      <w:lvlText w:val="（%1）"/>
      <w:lvlJc w:val="left"/>
      <w:pPr>
        <w:tabs>
          <w:tab w:val="left" w:pos="0"/>
        </w:tabs>
        <w:ind w:left="0" w:leftChars="0"/>
      </w:pPr>
      <w:rPr>
        <w:rFonts w:hint="eastAsia"/>
      </w:rPr>
    </w:lvl>
  </w:abstractNum>
  <w:abstractNum w:abstractNumId="2">
    <w:nsid w:val="76DA2A88"/>
    <w:multiLevelType w:val="singleLevel"/>
    <w:tmpl w:val="76DA2A88"/>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B078E"/>
    <w:rsid w:val="0BC1094D"/>
    <w:rsid w:val="0EE902CD"/>
    <w:rsid w:val="149F5C0D"/>
    <w:rsid w:val="174D66EC"/>
    <w:rsid w:val="1FE571D4"/>
    <w:rsid w:val="20013EB9"/>
    <w:rsid w:val="2183546B"/>
    <w:rsid w:val="2FBB2E27"/>
    <w:rsid w:val="3FF65DBE"/>
    <w:rsid w:val="4DE111E5"/>
    <w:rsid w:val="54A26390"/>
    <w:rsid w:val="660E03AC"/>
    <w:rsid w:val="661B078E"/>
    <w:rsid w:val="72862AC3"/>
    <w:rsid w:val="729365D8"/>
    <w:rsid w:val="75092492"/>
    <w:rsid w:val="7EEF504A"/>
    <w:rsid w:val="E5FA9BF1"/>
    <w:rsid w:val="EFEB9D23"/>
    <w:rsid w:val="F5B79B80"/>
    <w:rsid w:val="FEE68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2024-03-21T17:20:00Z</dcterms:created>
  <dc:creator>zmy</dc:creator>
  <cp:lastModifiedBy>Administrator</cp:lastModifiedBy>
  <dcterms:modified xsi:type="dcterms:W3CDTF">2025-08-28T09:50:33Z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