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spacing w:line="560" w:lineRule="exact"/>
        <w:jc w:val="center"/>
        <w:textAlignment w:val="auto"/>
        <w:rPr>
          <w:rFonts w:hint="eastAsia" w:asciiTheme="majorEastAsia" w:hAnsiTheme="majorEastAsia" w:eastAsiaTheme="majorEastAsia" w:cstheme="majorEastAsia"/>
          <w:b/>
          <w:bCs/>
          <w:sz w:val="40"/>
          <w:szCs w:val="40"/>
          <w:highlight w:val="none"/>
        </w:rPr>
      </w:pPr>
      <w:r>
        <w:rPr>
          <w:rFonts w:hint="eastAsia" w:asciiTheme="majorEastAsia" w:hAnsiTheme="majorEastAsia" w:eastAsiaTheme="majorEastAsia" w:cstheme="majorEastAsia"/>
          <w:b/>
          <w:bCs/>
          <w:sz w:val="40"/>
          <w:szCs w:val="40"/>
          <w:highlight w:val="none"/>
          <w:lang w:eastAsia="zh-CN"/>
        </w:rPr>
        <w:t>展览路街道</w:t>
      </w:r>
      <w:r>
        <w:rPr>
          <w:rFonts w:hint="eastAsia" w:asciiTheme="majorEastAsia" w:hAnsiTheme="majorEastAsia" w:eastAsiaTheme="majorEastAsia" w:cstheme="majorEastAsia"/>
          <w:b/>
          <w:bCs/>
          <w:sz w:val="40"/>
          <w:szCs w:val="40"/>
          <w:highlight w:val="none"/>
        </w:rPr>
        <w:t>部门整体绩效评价报告</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一、当年预算执行情况</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lang w:val="en-US" w:eastAsia="zh-CN" w:bidi="ar-SA"/>
        </w:rPr>
        <w:t>2024年全年预算数45972.35万元，其中，基本支出预算数10984.91万元，项目支出预算数34987.44万元。资金总体支出</w:t>
      </w:r>
      <w:r>
        <w:rPr>
          <w:rFonts w:hint="eastAsia" w:ascii="仿宋_GB2312" w:hAnsi="仿宋_GB2312" w:eastAsia="仿宋_GB2312" w:cs="仿宋_GB2312"/>
          <w:sz w:val="28"/>
          <w:szCs w:val="28"/>
        </w:rPr>
        <w:t>40869.34万元，比上年减少1875.47万元，</w:t>
      </w:r>
      <w:bookmarkStart w:id="2" w:name="_GoBack"/>
      <w:r>
        <w:rPr>
          <w:rFonts w:hint="eastAsia" w:ascii="仿宋_GB2312" w:hAnsi="仿宋_GB2312" w:eastAsia="仿宋_GB2312" w:cs="仿宋_GB2312"/>
          <w:sz w:val="28"/>
          <w:szCs w:val="28"/>
        </w:rPr>
        <w:t>下降4.39%，其中：基本支出10795.01万元，占支出合计的</w:t>
      </w:r>
      <w:r>
        <w:rPr>
          <w:rFonts w:hint="eastAsia" w:ascii="仿宋_GB2312" w:hAnsi="仿宋_GB2312" w:eastAsia="仿宋_GB2312" w:cs="仿宋_GB2312"/>
          <w:sz w:val="28"/>
          <w:szCs w:val="28"/>
          <w:lang w:eastAsia="zh-CN"/>
        </w:rPr>
        <w:t>26.41</w:t>
      </w:r>
      <w:r>
        <w:rPr>
          <w:rFonts w:hint="eastAsia" w:ascii="仿宋_GB2312" w:hAnsi="仿宋_GB2312" w:eastAsia="仿宋_GB2312" w:cs="仿宋_GB2312"/>
          <w:sz w:val="28"/>
          <w:szCs w:val="28"/>
        </w:rPr>
        <w:t>%；项</w:t>
      </w:r>
      <w:bookmarkEnd w:id="2"/>
      <w:r>
        <w:rPr>
          <w:rFonts w:hint="eastAsia" w:ascii="仿宋_GB2312" w:hAnsi="仿宋_GB2312" w:eastAsia="仿宋_GB2312" w:cs="仿宋_GB2312"/>
          <w:sz w:val="28"/>
          <w:szCs w:val="28"/>
        </w:rPr>
        <w:t>目支出30074.33万元，占支出合计的</w:t>
      </w:r>
      <w:r>
        <w:rPr>
          <w:rFonts w:hint="eastAsia" w:ascii="仿宋_GB2312" w:hAnsi="仿宋_GB2312" w:eastAsia="仿宋_GB2312" w:cs="仿宋_GB2312"/>
          <w:sz w:val="28"/>
          <w:szCs w:val="28"/>
          <w:lang w:eastAsia="zh-CN"/>
        </w:rPr>
        <w:t>73.59</w:t>
      </w:r>
      <w:r>
        <w:rPr>
          <w:rFonts w:hint="eastAsia" w:ascii="仿宋_GB2312" w:hAnsi="仿宋_GB2312" w:eastAsia="仿宋_GB2312" w:cs="仿宋_GB2312"/>
          <w:sz w:val="28"/>
          <w:szCs w:val="28"/>
        </w:rPr>
        <w:t>%;上缴上级支出0万元，占支出合计的</w:t>
      </w:r>
      <w:r>
        <w:rPr>
          <w:rFonts w:hint="eastAsia" w:ascii="仿宋_GB2312" w:hAnsi="仿宋_GB2312" w:eastAsia="仿宋_GB2312" w:cs="仿宋_GB2312"/>
          <w:sz w:val="28"/>
          <w:szCs w:val="28"/>
          <w:lang w:eastAsia="zh-CN"/>
        </w:rPr>
        <w:t>0</w:t>
      </w:r>
      <w:r>
        <w:rPr>
          <w:rFonts w:hint="eastAsia" w:ascii="仿宋_GB2312" w:hAnsi="仿宋_GB2312" w:eastAsia="仿宋_GB2312" w:cs="仿宋_GB2312"/>
          <w:sz w:val="28"/>
          <w:szCs w:val="28"/>
        </w:rPr>
        <w:t>%；经营支出0万元，占支出合计的</w:t>
      </w:r>
      <w:r>
        <w:rPr>
          <w:rFonts w:hint="eastAsia" w:ascii="仿宋_GB2312" w:hAnsi="仿宋_GB2312" w:eastAsia="仿宋_GB2312" w:cs="仿宋_GB2312"/>
          <w:sz w:val="28"/>
          <w:szCs w:val="28"/>
          <w:lang w:eastAsia="zh-CN"/>
        </w:rPr>
        <w:t>0</w:t>
      </w:r>
      <w:r>
        <w:rPr>
          <w:rFonts w:hint="eastAsia" w:ascii="仿宋_GB2312" w:hAnsi="仿宋_GB2312" w:eastAsia="仿宋_GB2312" w:cs="仿宋_GB2312"/>
          <w:sz w:val="28"/>
          <w:szCs w:val="28"/>
        </w:rPr>
        <w:t>%；对附属单位补助支出0万元，占支出合计的</w:t>
      </w:r>
      <w:r>
        <w:rPr>
          <w:rFonts w:hint="eastAsia" w:ascii="仿宋_GB2312" w:hAnsi="仿宋_GB2312" w:eastAsia="仿宋_GB2312" w:cs="仿宋_GB2312"/>
          <w:sz w:val="28"/>
          <w:szCs w:val="28"/>
          <w:lang w:eastAsia="zh-CN"/>
        </w:rPr>
        <w:t>0</w:t>
      </w:r>
      <w:r>
        <w:rPr>
          <w:rFonts w:hint="eastAsia" w:ascii="仿宋_GB2312" w:hAnsi="仿宋_GB2312" w:eastAsia="仿宋_GB2312" w:cs="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bCs/>
          <w:color w:val="000000"/>
          <w:sz w:val="28"/>
          <w:szCs w:val="28"/>
          <w:highlight w:val="none"/>
          <w:lang w:val="en-US" w:eastAsia="zh-CN"/>
        </w:rPr>
      </w:pPr>
      <w:r>
        <w:rPr>
          <w:rFonts w:hint="eastAsia" w:ascii="黑体" w:hAnsi="黑体" w:eastAsia="黑体" w:cs="黑体"/>
          <w:sz w:val="28"/>
          <w:szCs w:val="28"/>
          <w:lang w:eastAsia="zh-CN"/>
        </w:rPr>
        <w:t>二、</w:t>
      </w:r>
      <w:r>
        <w:rPr>
          <w:rFonts w:hint="eastAsia" w:ascii="黑体" w:hAnsi="黑体" w:eastAsia="黑体" w:cs="黑体"/>
          <w:b/>
          <w:bCs/>
          <w:kern w:val="2"/>
          <w:sz w:val="28"/>
          <w:szCs w:val="28"/>
          <w:lang w:val="en-US" w:eastAsia="zh-CN" w:bidi="ar-SA"/>
        </w:rPr>
        <w:t>整体绩效目标实现情况</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kern w:val="2"/>
          <w:sz w:val="28"/>
          <w:szCs w:val="28"/>
          <w:lang w:val="en-US" w:eastAsia="zh-CN" w:bidi="ar-SA"/>
        </w:rPr>
        <w:t>1.</w:t>
      </w:r>
      <w:r>
        <w:rPr>
          <w:rFonts w:hint="eastAsia" w:ascii="仿宋_GB2312" w:hAnsi="仿宋_GB2312" w:eastAsia="仿宋_GB2312" w:cs="仿宋_GB2312"/>
          <w:b/>
          <w:bCs/>
          <w:color w:val="000000"/>
          <w:sz w:val="28"/>
          <w:szCs w:val="28"/>
          <w:highlight w:val="none"/>
          <w:lang w:val="en-US" w:eastAsia="zh-CN"/>
        </w:rPr>
        <w:t>持党建联建共建，基层党建水平不断提高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color w:val="auto"/>
          <w:spacing w:val="0"/>
          <w:sz w:val="28"/>
          <w:szCs w:val="28"/>
        </w:rPr>
        <w:t>强化理论武装，筑牢思想根基。</w:t>
      </w:r>
      <w:r>
        <w:rPr>
          <w:rFonts w:hint="eastAsia" w:ascii="仿宋_GB2312" w:hAnsi="仿宋_GB2312" w:eastAsia="仿宋_GB2312" w:cs="仿宋_GB2312"/>
          <w:b w:val="0"/>
          <w:bCs w:val="0"/>
          <w:kern w:val="0"/>
          <w:sz w:val="28"/>
          <w:szCs w:val="28"/>
          <w:lang w:val="en-US" w:eastAsia="zh-CN" w:bidi="ar-SA"/>
        </w:rPr>
        <w:t>以学习宣传贯彻党的二十届三中全会精神为主线，</w:t>
      </w:r>
      <w:r>
        <w:rPr>
          <w:rFonts w:hint="eastAsia" w:ascii="仿宋_GB2312" w:hAnsi="仿宋_GB2312" w:eastAsia="仿宋_GB2312" w:cs="仿宋_GB2312"/>
          <w:b w:val="0"/>
          <w:bCs w:val="0"/>
          <w:kern w:val="0"/>
          <w:sz w:val="28"/>
          <w:szCs w:val="28"/>
          <w:lang w:val="zh-CN" w:eastAsia="zh-CN" w:bidi="ar-SA"/>
        </w:rPr>
        <w:t>多种形式</w:t>
      </w:r>
      <w:r>
        <w:rPr>
          <w:rFonts w:hint="eastAsia" w:ascii="仿宋_GB2312" w:hAnsi="仿宋_GB2312" w:eastAsia="仿宋_GB2312" w:cs="仿宋_GB2312"/>
          <w:b w:val="0"/>
          <w:bCs w:val="0"/>
          <w:kern w:val="0"/>
          <w:sz w:val="28"/>
          <w:szCs w:val="28"/>
          <w:lang w:val="en-US" w:eastAsia="zh-CN" w:bidi="ar-SA"/>
        </w:rPr>
        <w:t>推动党的创新理论入脑入心入行。353个党组织1000余名党务工作者参加线上学习。联合中国人民大学等4所高校开展“马院进社区”宣讲活动20场。</w:t>
      </w:r>
      <w:r>
        <w:rPr>
          <w:rFonts w:hint="eastAsia" w:ascii="仿宋_GB2312" w:hAnsi="仿宋_GB2312" w:eastAsia="仿宋_GB2312" w:cs="仿宋_GB2312"/>
          <w:b w:val="0"/>
          <w:bCs w:val="0"/>
          <w:color w:val="000000"/>
          <w:kern w:val="2"/>
          <w:sz w:val="28"/>
          <w:szCs w:val="28"/>
          <w:highlight w:val="none"/>
          <w:lang w:val="en-US" w:eastAsia="zh-CN" w:bidi="ar-SA"/>
        </w:rPr>
        <w:t>聚焦组织建设，建强战斗堡垒。</w:t>
      </w:r>
      <w:r>
        <w:rPr>
          <w:rFonts w:hint="eastAsia" w:ascii="仿宋_GB2312" w:hAnsi="仿宋_GB2312" w:eastAsia="仿宋_GB2312" w:cs="仿宋_GB2312"/>
          <w:b w:val="0"/>
          <w:bCs w:val="0"/>
          <w:color w:val="000000"/>
          <w:sz w:val="28"/>
          <w:szCs w:val="28"/>
          <w:highlight w:val="none"/>
          <w:lang w:val="en-US" w:eastAsia="zh-CN"/>
        </w:rPr>
        <w:t>守牢宣传阵地，强化意识形态。</w:t>
      </w:r>
      <w:r>
        <w:rPr>
          <w:rFonts w:hint="eastAsia" w:ascii="仿宋_GB2312" w:hAnsi="仿宋_GB2312" w:eastAsia="仿宋_GB2312" w:cs="仿宋_GB2312"/>
          <w:b w:val="0"/>
          <w:bCs w:val="0"/>
          <w:sz w:val="28"/>
          <w:szCs w:val="28"/>
        </w:rPr>
        <w:t>街道工作被中央、市、区级媒体报道</w:t>
      </w:r>
      <w:r>
        <w:rPr>
          <w:rFonts w:hint="eastAsia" w:ascii="仿宋_GB2312" w:hAnsi="仿宋_GB2312" w:eastAsia="仿宋_GB2312" w:cs="仿宋_GB2312"/>
          <w:b w:val="0"/>
          <w:bCs w:val="0"/>
          <w:sz w:val="28"/>
          <w:szCs w:val="28"/>
          <w:lang w:val="en-US" w:eastAsia="zh-CN"/>
        </w:rPr>
        <w:t>169</w:t>
      </w:r>
      <w:r>
        <w:rPr>
          <w:rFonts w:hint="eastAsia" w:ascii="仿宋_GB2312" w:hAnsi="仿宋_GB2312" w:eastAsia="仿宋_GB2312" w:cs="仿宋_GB2312"/>
          <w:b w:val="0"/>
          <w:bCs w:val="0"/>
          <w:sz w:val="28"/>
          <w:szCs w:val="28"/>
        </w:rPr>
        <w:t>篇。</w:t>
      </w:r>
      <w:r>
        <w:rPr>
          <w:rFonts w:hint="eastAsia" w:ascii="仿宋_GB2312" w:hAnsi="仿宋_GB2312" w:eastAsia="仿宋_GB2312" w:cs="仿宋_GB2312"/>
          <w:b w:val="0"/>
          <w:bCs w:val="0"/>
          <w:i w:val="0"/>
          <w:caps w:val="0"/>
          <w:color w:val="000000"/>
          <w:spacing w:val="0"/>
          <w:sz w:val="28"/>
          <w:szCs w:val="28"/>
          <w:shd w:val="clear" w:color="auto" w:fill="FFFFFF"/>
          <w:lang w:val="en-US" w:eastAsia="zh-CN"/>
        </w:rPr>
        <w:t>“‘览’里有故事”百姓宣讲团获区汇讲活动团体总分第一名，</w:t>
      </w:r>
      <w:r>
        <w:rPr>
          <w:rFonts w:hint="eastAsia" w:ascii="仿宋_GB2312" w:hAnsi="仿宋_GB2312" w:eastAsia="仿宋_GB2312" w:cs="仿宋_GB2312"/>
          <w:b w:val="0"/>
          <w:bCs w:val="0"/>
          <w:i w:val="0"/>
          <w:caps w:val="0"/>
          <w:color w:val="000000"/>
          <w:spacing w:val="0"/>
          <w:sz w:val="28"/>
          <w:szCs w:val="28"/>
          <w:shd w:val="clear" w:color="auto" w:fill="FFFFFF"/>
        </w:rPr>
        <w:t>2</w:t>
      </w:r>
      <w:r>
        <w:rPr>
          <w:rFonts w:hint="eastAsia" w:ascii="仿宋_GB2312" w:hAnsi="仿宋_GB2312" w:eastAsia="仿宋_GB2312" w:cs="仿宋_GB2312"/>
          <w:b w:val="0"/>
          <w:bCs w:val="0"/>
          <w:i w:val="0"/>
          <w:caps w:val="0"/>
          <w:color w:val="000000"/>
          <w:spacing w:val="0"/>
          <w:sz w:val="28"/>
          <w:szCs w:val="28"/>
          <w:shd w:val="clear" w:color="auto" w:fill="FFFFFF"/>
          <w:lang w:eastAsia="zh-CN"/>
        </w:rPr>
        <w:t>名</w:t>
      </w:r>
      <w:r>
        <w:rPr>
          <w:rFonts w:hint="eastAsia" w:ascii="仿宋_GB2312" w:hAnsi="仿宋_GB2312" w:eastAsia="仿宋_GB2312" w:cs="仿宋_GB2312"/>
          <w:b w:val="0"/>
          <w:bCs w:val="0"/>
          <w:i w:val="0"/>
          <w:caps w:val="0"/>
          <w:color w:val="000000"/>
          <w:spacing w:val="0"/>
          <w:sz w:val="28"/>
          <w:szCs w:val="28"/>
          <w:shd w:val="clear" w:color="auto" w:fill="FFFFFF"/>
        </w:rPr>
        <w:t>宣讲员荣获市百姓宣讲调研汇讲“优秀宣讲员一等奖”</w:t>
      </w:r>
      <w:r>
        <w:rPr>
          <w:rFonts w:hint="eastAsia" w:ascii="仿宋_GB2312" w:hAnsi="仿宋_GB2312" w:eastAsia="仿宋_GB2312" w:cs="仿宋_GB2312"/>
          <w:b w:val="0"/>
          <w:bCs w:val="0"/>
          <w:kern w:val="0"/>
          <w:sz w:val="28"/>
          <w:szCs w:val="28"/>
          <w:lang w:val="en-US" w:eastAsia="zh-CN" w:bidi="ar-SA"/>
        </w:rPr>
        <w:t>。打造“行走的思政课·首建典藏地”文化新名片，发布包含28个点位的四条建筑文化探访线路，开展相关活动被中央电视台、新华社、人民日报等报道20余次，全网阅读量超千万。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2.当好“红墙卫士”，区域安全管控有力</w:t>
      </w:r>
    </w:p>
    <w:p>
      <w:pPr>
        <w:keepNext w:val="0"/>
        <w:keepLines w:val="0"/>
        <w:pageBreakBefore w:val="0"/>
        <w:widowControl w:val="0"/>
        <w:shd w:val="clear" w:color="auto" w:fill="auto"/>
        <w:tabs>
          <w:tab w:val="center" w:pos="4153"/>
          <w:tab w:val="left" w:pos="6780"/>
        </w:tabs>
        <w:kinsoku/>
        <w:wordWrap/>
        <w:overflowPunct/>
        <w:topLinePunct w:val="0"/>
        <w:autoSpaceDE/>
        <w:autoSpaceDN/>
        <w:bidi w:val="0"/>
        <w:adjustRightInd w:val="0"/>
        <w:snapToGrid w:val="0"/>
        <w:spacing w:line="560" w:lineRule="exact"/>
        <w:ind w:firstLine="560" w:firstLineChars="200"/>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加强政治中心服务保障。</w:t>
      </w:r>
      <w:r>
        <w:rPr>
          <w:rFonts w:hint="eastAsia" w:ascii="仿宋_GB2312" w:hAnsi="仿宋_GB2312" w:eastAsia="仿宋_GB2312" w:cs="仿宋_GB2312"/>
          <w:b w:val="0"/>
          <w:bCs w:val="0"/>
          <w:kern w:val="0"/>
          <w:sz w:val="28"/>
          <w:szCs w:val="28"/>
          <w:highlight w:val="none"/>
          <w:shd w:val="clear" w:color="auto" w:fill="auto"/>
          <w:lang w:val="en-US" w:eastAsia="zh-CN" w:bidi="ar"/>
        </w:rPr>
        <w:t>处级领导走访中央单位62家次，政企联动解决国家卫健委非机动车停车难问题</w:t>
      </w:r>
      <w:r>
        <w:rPr>
          <w:rFonts w:hint="eastAsia" w:ascii="仿宋_GB2312" w:hAnsi="仿宋_GB2312" w:eastAsia="仿宋_GB2312" w:cs="仿宋_GB2312"/>
          <w:b w:val="0"/>
          <w:bCs w:val="0"/>
          <w:kern w:val="2"/>
          <w:sz w:val="28"/>
          <w:szCs w:val="28"/>
          <w:highlight w:val="none"/>
          <w:lang w:val="en-US" w:eastAsia="zh-CN" w:bidi="ar-SA"/>
        </w:rPr>
        <w:t>。</w:t>
      </w:r>
      <w:r>
        <w:rPr>
          <w:rFonts w:hint="eastAsia" w:ascii="仿宋_GB2312" w:hAnsi="仿宋_GB2312" w:eastAsia="仿宋_GB2312" w:cs="仿宋_GB2312"/>
          <w:b w:val="0"/>
          <w:bCs w:val="0"/>
          <w:kern w:val="2"/>
          <w:sz w:val="28"/>
          <w:szCs w:val="28"/>
          <w:lang w:val="en-US" w:eastAsia="zh-CN" w:bidi="ar-SA"/>
        </w:rPr>
        <w:t>守好地区安全“生命线”。</w:t>
      </w:r>
      <w:r>
        <w:rPr>
          <w:rFonts w:hint="eastAsia" w:ascii="仿宋_GB2312" w:hAnsi="仿宋_GB2312" w:eastAsia="仿宋_GB2312" w:cs="仿宋_GB2312"/>
          <w:b w:val="0"/>
          <w:bCs w:val="0"/>
          <w:snapToGrid w:val="0"/>
          <w:color w:val="auto"/>
          <w:kern w:val="0"/>
          <w:sz w:val="28"/>
          <w:szCs w:val="28"/>
          <w:highlight w:val="none"/>
          <w:u w:val="none"/>
          <w:lang w:val="en-US" w:eastAsia="zh-CN"/>
        </w:rPr>
        <w:t>推动安全生产治本攻坚三年行动走深走实，累计出动7428人次，检查生产经营单位3714家次</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kern w:val="2"/>
          <w:sz w:val="28"/>
          <w:szCs w:val="28"/>
          <w:lang w:val="en-US" w:eastAsia="zh-CN" w:bidi="ar-SA"/>
        </w:rPr>
        <w:t>建立大屋脊住宅分级分类治理体系，实现126栋30家产权单位函告全覆盖，60处大屋脊住宅风险降级。持续巩固地区和谐。</w:t>
      </w:r>
      <w:r>
        <w:rPr>
          <w:rFonts w:hint="eastAsia" w:ascii="仿宋_GB2312" w:hAnsi="仿宋_GB2312" w:eastAsia="仿宋_GB2312" w:cs="仿宋_GB2312"/>
          <w:b w:val="0"/>
          <w:bCs w:val="0"/>
          <w:kern w:val="2"/>
          <w:sz w:val="28"/>
          <w:szCs w:val="28"/>
          <w:shd w:val="clear" w:color="auto" w:fill="auto"/>
          <w:lang w:val="en-US" w:eastAsia="zh-CN" w:bidi="ar-SA"/>
        </w:rPr>
        <w:t>推广防范治理，反诈APP注册人数达105413人。作为西城区十五个街道唯一代表入选市级“公共安全风险管理工作试点”街道。</w:t>
      </w:r>
      <w:r>
        <w:rPr>
          <w:rFonts w:hint="eastAsia" w:ascii="仿宋_GB2312" w:hAnsi="仿宋_GB2312" w:eastAsia="仿宋_GB2312" w:cs="仿宋_GB2312"/>
          <w:b w:val="0"/>
          <w:bCs w:val="0"/>
          <w:kern w:val="2"/>
          <w:sz w:val="28"/>
          <w:szCs w:val="28"/>
          <w:lang w:val="en-US" w:eastAsia="zh-CN" w:bidi="ar-SA"/>
        </w:rPr>
        <w:t>全年开展普法宣传200余次，推动法律法规落地见效。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3.坚持守正创新，描绘区域经济发展新篇章</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shd w:val="clear" w:color="auto" w:fill="auto"/>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开展统计调查，促进经济发展。</w:t>
      </w:r>
      <w:r>
        <w:rPr>
          <w:rFonts w:hint="eastAsia" w:ascii="仿宋_GB2312" w:hAnsi="仿宋_GB2312" w:eastAsia="仿宋_GB2312" w:cs="仿宋_GB2312"/>
          <w:b w:val="0"/>
          <w:bCs w:val="0"/>
          <w:sz w:val="28"/>
          <w:szCs w:val="28"/>
          <w:lang w:val="en-US" w:eastAsia="zh-CN"/>
        </w:rPr>
        <w:t>把脉经济摸清“家底”，扎实推进“五经普”工作。对地区超市、百姓生活中心等批发零售、住宿餐饮类商业单位进行深度挖潜，</w:t>
      </w:r>
      <w:r>
        <w:rPr>
          <w:rFonts w:hint="eastAsia" w:ascii="仿宋_GB2312" w:hAnsi="仿宋_GB2312" w:eastAsia="仿宋_GB2312" w:cs="仿宋_GB2312"/>
          <w:b w:val="0"/>
          <w:bCs w:val="0"/>
          <w:sz w:val="28"/>
          <w:szCs w:val="28"/>
          <w:highlight w:val="none"/>
          <w:lang w:val="en-US" w:eastAsia="zh-CN" w:bidi="ar-SA"/>
        </w:rPr>
        <w:t>梳理</w:t>
      </w:r>
      <w:r>
        <w:rPr>
          <w:rFonts w:hint="eastAsia" w:ascii="仿宋_GB2312" w:hAnsi="仿宋_GB2312" w:eastAsia="仿宋_GB2312" w:cs="仿宋_GB2312"/>
          <w:b w:val="0"/>
          <w:bCs w:val="0"/>
          <w:sz w:val="28"/>
          <w:szCs w:val="28"/>
          <w:highlight w:val="none"/>
          <w:shd w:val="clear" w:color="auto" w:fill="auto"/>
          <w:lang w:val="en-US" w:eastAsia="zh-CN" w:bidi="ar-SA"/>
        </w:rPr>
        <w:t>80家年度营收约30亿元的四类批发零售企业，32家</w:t>
      </w:r>
      <w:r>
        <w:rPr>
          <w:rFonts w:hint="eastAsia" w:ascii="仿宋_GB2312" w:hAnsi="仿宋_GB2312" w:eastAsia="仿宋_GB2312" w:cs="仿宋_GB2312"/>
          <w:b w:val="0"/>
          <w:bCs w:val="0"/>
          <w:sz w:val="28"/>
          <w:szCs w:val="28"/>
          <w:highlight w:val="none"/>
          <w:lang w:val="en-US" w:eastAsia="zh-CN" w:bidi="ar-SA"/>
        </w:rPr>
        <w:t>纳入统计限额以上管理</w:t>
      </w:r>
      <w:r>
        <w:rPr>
          <w:rFonts w:hint="eastAsia" w:ascii="仿宋_GB2312" w:hAnsi="仿宋_GB2312" w:eastAsia="仿宋_GB2312" w:cs="仿宋_GB2312"/>
          <w:b w:val="0"/>
          <w:bCs w:val="0"/>
          <w:sz w:val="28"/>
          <w:szCs w:val="28"/>
          <w:highlight w:val="none"/>
          <w:shd w:val="clear" w:color="auto" w:fill="auto"/>
          <w:lang w:val="en-US" w:eastAsia="zh-CN" w:bidi="ar-SA"/>
        </w:rPr>
        <w:t>。</w:t>
      </w:r>
      <w:r>
        <w:rPr>
          <w:rFonts w:hint="eastAsia" w:ascii="仿宋_GB2312" w:hAnsi="仿宋_GB2312" w:eastAsia="仿宋_GB2312" w:cs="仿宋_GB2312"/>
          <w:b w:val="0"/>
          <w:bCs w:val="0"/>
          <w:color w:val="000000"/>
          <w:kern w:val="0"/>
          <w:sz w:val="28"/>
          <w:szCs w:val="28"/>
          <w:lang w:val="en-US" w:eastAsia="zh-CN" w:bidi="ar"/>
        </w:rPr>
        <w:t>对808家大走访企业、41家“服务包”企业、32家推送企业开展走访调研，解决诉求132件，办结率、满意率均为100%。</w:t>
      </w:r>
      <w:r>
        <w:rPr>
          <w:rFonts w:hint="eastAsia" w:ascii="仿宋_GB2312" w:hAnsi="仿宋_GB2312" w:eastAsia="仿宋_GB2312" w:cs="仿宋_GB2312"/>
          <w:b w:val="0"/>
          <w:bCs w:val="0"/>
          <w:sz w:val="28"/>
          <w:szCs w:val="28"/>
          <w:highlight w:val="none"/>
          <w:shd w:val="clear" w:color="auto" w:fill="auto"/>
          <w:lang w:val="en-US" w:eastAsia="zh-CN" w:bidi="ar-SA"/>
        </w:rPr>
        <w:t>做好“两展一节”“味到京城美食节”“2024西城汽车嘉年华”等活动外围保障，主办“展展有约·金秋惠购”惠民消费季暨六必居酱菜文化美食节、第二届金科文化艺术生活节等。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4.扎实精雕细琢，推动城市精细化治理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outlineLvl w:val="1"/>
        <w:rPr>
          <w:rFonts w:hint="eastAsia" w:ascii="仿宋_GB2312" w:hAnsi="仿宋_GB2312" w:eastAsia="仿宋_GB2312" w:cs="仿宋_GB2312"/>
          <w:b w:val="0"/>
          <w:sz w:val="28"/>
          <w:szCs w:val="28"/>
          <w:highlight w:val="none"/>
          <w:shd w:val="clear" w:color="auto" w:fill="auto"/>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全力保障城市运行。</w:t>
      </w:r>
      <w:r>
        <w:rPr>
          <w:rFonts w:hint="eastAsia" w:ascii="仿宋_GB2312" w:hAnsi="仿宋_GB2312" w:eastAsia="仿宋_GB2312" w:cs="仿宋_GB2312"/>
          <w:b w:val="0"/>
          <w:bCs w:val="0"/>
          <w:sz w:val="28"/>
          <w:szCs w:val="28"/>
          <w:highlight w:val="none"/>
          <w:lang w:val="en-US" w:eastAsia="zh-CN" w:bidi="ar-SA"/>
        </w:rPr>
        <w:t>西外广场精彩亮相，设置居民公约确保动静分区、晚21时静场，防范广场周边非机动车乱停放、噪音扰民、无照游商。启动13次汛期暴雨蓝色以上预警响应，出动抢险人员1690人次，排除险情439次，提前谋划扫雪铲冰工作，做好人员及物资储备。</w:t>
      </w:r>
      <w:r>
        <w:rPr>
          <w:rFonts w:hint="eastAsia" w:ascii="仿宋_GB2312" w:hAnsi="仿宋_GB2312" w:eastAsia="仿宋_GB2312" w:cs="仿宋_GB2312"/>
          <w:b w:val="0"/>
          <w:bCs w:val="0"/>
          <w:kern w:val="2"/>
          <w:sz w:val="28"/>
          <w:szCs w:val="28"/>
          <w:highlight w:val="none"/>
          <w:lang w:val="en-US" w:eastAsia="zh-CN" w:bidi="ar-SA"/>
        </w:rPr>
        <w:t>扎实推进关键小事。</w:t>
      </w:r>
      <w:r>
        <w:rPr>
          <w:rFonts w:hint="eastAsia" w:ascii="仿宋_GB2312" w:hAnsi="仿宋_GB2312" w:eastAsia="仿宋_GB2312" w:cs="仿宋_GB2312"/>
          <w:b w:val="0"/>
          <w:bCs w:val="0"/>
          <w:sz w:val="28"/>
          <w:szCs w:val="28"/>
          <w:highlight w:val="none"/>
          <w:lang w:val="en-US" w:eastAsia="zh-CN" w:bidi="ar-SA"/>
        </w:rPr>
        <w:t>完善垃圾分类全覆盖运行模式，开展垃圾分类四周年系列主题活动及宣传活动68场，北京电视台宣传3次；申报3条新增路侧停车道路，梳理19处沿线停车设施，完成西直门凯德mall交通综合整治施工，释放非机动车车位600余个，解决高峰时段200余辆外溢非机动车停车难问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5.深耕细作，提升基层治理效能</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outlineLvl w:val="1"/>
        <w:rPr>
          <w:rFonts w:hint="eastAsia" w:ascii="仿宋_GB2312" w:hAnsi="仿宋_GB2312" w:eastAsia="仿宋_GB2312" w:cs="仿宋_GB2312"/>
          <w:b w:val="0"/>
          <w:bCs w:val="0"/>
          <w:sz w:val="28"/>
          <w:szCs w:val="28"/>
          <w:shd w:val="clear" w:color="auto" w:fill="auto"/>
          <w:lang w:val="en-US" w:eastAsia="zh-CN"/>
        </w:rPr>
      </w:pPr>
      <w:r>
        <w:rPr>
          <w:rFonts w:hint="eastAsia" w:ascii="仿宋_GB2312" w:hAnsi="仿宋_GB2312" w:eastAsia="仿宋_GB2312" w:cs="仿宋_GB2312"/>
          <w:b w:val="0"/>
          <w:bCs w:val="0"/>
          <w:kern w:val="2"/>
          <w:sz w:val="28"/>
          <w:szCs w:val="28"/>
          <w:highlight w:val="none"/>
          <w:lang w:val="en-US" w:eastAsia="zh-CN" w:bidi="ar-SA"/>
        </w:rPr>
        <w:t>接诉即办持续深化。</w:t>
      </w:r>
      <w:r>
        <w:rPr>
          <w:rFonts w:hint="eastAsia" w:ascii="仿宋_GB2312" w:hAnsi="仿宋_GB2312" w:eastAsia="仿宋_GB2312" w:cs="仿宋_GB2312"/>
          <w:b w:val="0"/>
          <w:bCs w:val="0"/>
          <w:sz w:val="28"/>
          <w:szCs w:val="28"/>
          <w:highlight w:val="none"/>
          <w:lang w:val="en-US" w:eastAsia="zh-CN" w:bidi="ar-SA"/>
        </w:rPr>
        <w:t>接收12345平台下派热线11020件，响应率100%，按期办结率100%，接收处理便民服务平台868件，17人获评区级“最美办件人”，3篇案例获评区级“优秀案例”，街道获评“最美办件集体”。</w:t>
      </w:r>
      <w:r>
        <w:rPr>
          <w:rFonts w:hint="eastAsia" w:ascii="仿宋_GB2312" w:hAnsi="仿宋_GB2312" w:eastAsia="仿宋_GB2312" w:cs="仿宋_GB2312"/>
          <w:b w:val="0"/>
          <w:bCs w:val="0"/>
          <w:kern w:val="2"/>
          <w:sz w:val="28"/>
          <w:szCs w:val="28"/>
          <w:highlight w:val="none"/>
          <w:lang w:val="en-US" w:eastAsia="zh-CN" w:bidi="ar-SA"/>
        </w:rPr>
        <w:t>社区自治能力持续提升</w:t>
      </w:r>
      <w:r>
        <w:rPr>
          <w:rFonts w:hint="eastAsia" w:ascii="仿宋_GB2312" w:hAnsi="仿宋_GB2312" w:eastAsia="仿宋_GB2312" w:cs="仿宋_GB2312"/>
          <w:b w:val="0"/>
          <w:bCs w:val="0"/>
          <w:sz w:val="28"/>
          <w:szCs w:val="28"/>
          <w:highlight w:val="none"/>
          <w:lang w:val="en-US" w:eastAsia="zh-CN" w:bidi="ar-SA"/>
        </w:rPr>
        <w:t>。</w:t>
      </w:r>
      <w:r>
        <w:rPr>
          <w:rFonts w:hint="eastAsia" w:ascii="仿宋_GB2312" w:hAnsi="仿宋_GB2312" w:eastAsia="仿宋_GB2312" w:cs="仿宋_GB2312"/>
          <w:b w:val="0"/>
          <w:bCs w:val="0"/>
          <w:kern w:val="2"/>
          <w:sz w:val="28"/>
          <w:szCs w:val="28"/>
          <w:highlight w:val="none"/>
          <w:lang w:val="en-US" w:eastAsia="zh-CN" w:bidi="ar-SA"/>
        </w:rPr>
        <w:t>社区服务效能显著提升。</w:t>
      </w:r>
      <w:r>
        <w:rPr>
          <w:rFonts w:hint="eastAsia" w:ascii="仿宋_GB2312" w:hAnsi="仿宋_GB2312" w:eastAsia="仿宋_GB2312" w:cs="仿宋_GB2312"/>
          <w:b w:val="0"/>
          <w:bCs w:val="0"/>
          <w:sz w:val="28"/>
          <w:szCs w:val="28"/>
          <w:highlight w:val="none"/>
          <w:lang w:val="en-US" w:eastAsia="zh-CN" w:bidi="ar-SA"/>
        </w:rPr>
        <w:t>开展社工“六维分级赋能3.0”培训，联动西城高校联盟成员北京建筑大学举办社工能力提升培训班两期，开设青年社工训练营。推进12个社区社工站公益创投项目落地，开展各类公益活动70余次，服务居民2300余人次，形成案例117个。</w:t>
      </w:r>
      <w:r>
        <w:rPr>
          <w:rFonts w:hint="eastAsia" w:ascii="仿宋_GB2312" w:hAnsi="仿宋_GB2312" w:eastAsia="仿宋_GB2312" w:cs="仿宋_GB2312"/>
          <w:b w:val="0"/>
          <w:bCs w:val="0"/>
          <w:kern w:val="2"/>
          <w:sz w:val="28"/>
          <w:szCs w:val="28"/>
          <w:highlight w:val="none"/>
          <w:shd w:val="clear" w:color="auto" w:fill="auto"/>
          <w:lang w:val="en-US" w:eastAsia="zh-CN" w:bidi="ar-SA"/>
        </w:rPr>
        <w:t>开展人大代表、政协委员“进家站”25场，联组活动8次，推进民生事项办理30余项。</w:t>
      </w:r>
      <w:r>
        <w:rPr>
          <w:rFonts w:hint="eastAsia" w:ascii="仿宋_GB2312" w:hAnsi="仿宋_GB2312" w:eastAsia="仿宋_GB2312" w:cs="仿宋_GB2312"/>
          <w:b w:val="0"/>
          <w:bCs w:val="0"/>
          <w:sz w:val="28"/>
          <w:szCs w:val="28"/>
          <w:highlight w:val="none"/>
          <w:lang w:val="en-US" w:eastAsia="zh-CN" w:bidi="ar-SA"/>
        </w:rPr>
        <w:t>42户家庭被评选为展览路地区2024年最美家庭。</w:t>
      </w:r>
      <w:r>
        <w:rPr>
          <w:rFonts w:hint="eastAsia" w:ascii="仿宋_GB2312" w:hAnsi="仿宋_GB2312" w:eastAsia="仿宋_GB2312" w:cs="仿宋_GB2312"/>
          <w:b w:val="0"/>
          <w:bCs w:val="0"/>
          <w:sz w:val="28"/>
          <w:szCs w:val="28"/>
          <w:shd w:val="clear" w:color="auto" w:fill="auto"/>
          <w:lang w:eastAsia="zh-CN"/>
        </w:rPr>
        <w:t>创新开展</w:t>
      </w:r>
      <w:r>
        <w:rPr>
          <w:rFonts w:hint="eastAsia" w:ascii="仿宋_GB2312" w:hAnsi="仿宋_GB2312" w:eastAsia="仿宋_GB2312" w:cs="仿宋_GB2312"/>
          <w:b w:val="0"/>
          <w:bCs w:val="0"/>
          <w:sz w:val="28"/>
          <w:szCs w:val="28"/>
          <w:shd w:val="clear" w:color="auto" w:fill="auto"/>
        </w:rPr>
        <w:t>工会</w:t>
      </w:r>
      <w:r>
        <w:rPr>
          <w:rFonts w:hint="eastAsia" w:ascii="仿宋_GB2312" w:hAnsi="仿宋_GB2312" w:eastAsia="仿宋_GB2312" w:cs="仿宋_GB2312"/>
          <w:b w:val="0"/>
          <w:bCs w:val="0"/>
          <w:sz w:val="28"/>
          <w:szCs w:val="28"/>
          <w:shd w:val="clear" w:color="auto" w:fill="auto"/>
          <w:lang w:eastAsia="zh-CN"/>
        </w:rPr>
        <w:t>各项</w:t>
      </w:r>
      <w:r>
        <w:rPr>
          <w:rFonts w:hint="eastAsia" w:ascii="仿宋_GB2312" w:hAnsi="仿宋_GB2312" w:eastAsia="仿宋_GB2312" w:cs="仿宋_GB2312"/>
          <w:b w:val="0"/>
          <w:bCs w:val="0"/>
          <w:sz w:val="28"/>
          <w:szCs w:val="28"/>
          <w:shd w:val="clear" w:color="auto" w:fill="auto"/>
        </w:rPr>
        <w:t>工作</w:t>
      </w:r>
      <w:r>
        <w:rPr>
          <w:rFonts w:hint="eastAsia" w:ascii="仿宋_GB2312" w:hAnsi="仿宋_GB2312" w:eastAsia="仿宋_GB2312" w:cs="仿宋_GB2312"/>
          <w:b w:val="0"/>
          <w:bCs w:val="0"/>
          <w:sz w:val="28"/>
          <w:szCs w:val="28"/>
          <w:shd w:val="clear" w:color="auto" w:fill="auto"/>
          <w:lang w:eastAsia="zh-CN"/>
        </w:rPr>
        <w:t>，</w:t>
      </w:r>
      <w:r>
        <w:rPr>
          <w:rFonts w:hint="eastAsia" w:ascii="仿宋_GB2312" w:hAnsi="仿宋_GB2312" w:eastAsia="仿宋_GB2312" w:cs="仿宋_GB2312"/>
          <w:b w:val="0"/>
          <w:bCs w:val="0"/>
          <w:sz w:val="28"/>
          <w:szCs w:val="28"/>
          <w:shd w:val="clear" w:color="auto" w:fill="auto"/>
          <w:lang w:val="en-US" w:eastAsia="zh-CN"/>
        </w:rPr>
        <w:t>开展“体验警营生活，感悟展览人文”暑期托管班，解决职工子女暑期看护难题。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6.聚焦“七有”“五性”，提升群众幸福感和满意度</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outlineLvl w:val="1"/>
        <w:rPr>
          <w:rFonts w:hint="eastAsia" w:ascii="仿宋_GB2312" w:hAnsi="仿宋_GB2312" w:eastAsia="仿宋_GB2312" w:cs="仿宋_GB2312"/>
          <w:b w:val="0"/>
          <w:bCs w:val="0"/>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bidi="ar-SA"/>
        </w:rPr>
        <w:t>社会保障扎实有力。保障低保、低收入家庭基本生活，</w:t>
      </w:r>
      <w:r>
        <w:rPr>
          <w:rFonts w:hint="eastAsia" w:ascii="仿宋_GB2312" w:hAnsi="仿宋_GB2312" w:eastAsia="仿宋_GB2312" w:cs="仿宋_GB2312"/>
          <w:b w:val="0"/>
          <w:sz w:val="28"/>
          <w:szCs w:val="28"/>
          <w:highlight w:val="none"/>
          <w:lang w:val="en-US" w:eastAsia="zh-CN" w:bidi="ar-SA"/>
        </w:rPr>
        <w:t>持续深化西城区“3+1”助残工程建设，两节及助残日慰问残疾人。</w:t>
      </w:r>
      <w:r>
        <w:rPr>
          <w:rFonts w:hint="eastAsia" w:ascii="仿宋_GB2312" w:hAnsi="仿宋_GB2312" w:eastAsia="仿宋_GB2312" w:cs="仿宋_GB2312"/>
          <w:b w:val="0"/>
          <w:bCs w:val="0"/>
          <w:sz w:val="28"/>
          <w:szCs w:val="28"/>
          <w:highlight w:val="none"/>
          <w:shd w:val="clear" w:color="auto" w:fill="auto"/>
          <w:lang w:val="en-US" w:eastAsia="zh-CN" w:bidi="ar-SA"/>
        </w:rPr>
        <w:t>公共服务能力稳步提升。123项政务事项全面纳入综合窗口统一受理，50项高频政务服务事项向23个社区服务站延伸，</w:t>
      </w:r>
      <w:r>
        <w:rPr>
          <w:rFonts w:hint="eastAsia" w:ascii="仿宋_GB2312" w:hAnsi="仿宋_GB2312" w:eastAsia="仿宋_GB2312" w:cs="仿宋_GB2312"/>
          <w:b w:val="0"/>
          <w:bCs w:val="0"/>
          <w:sz w:val="28"/>
          <w:szCs w:val="28"/>
          <w:highlight w:val="none"/>
          <w:lang w:val="en-US" w:eastAsia="zh-CN" w:bidi="ar-SA"/>
        </w:rPr>
        <w:t>扩大养老助餐点覆盖范围，开设父母食堂28家。健康西城建设有序落实。推进精神疾病患者兜底式面访排查工作，科教文体事业协同发展。举办冰雪体验活动、趣味运动会、和谐杯乒乓球赛、第十届北展风筝文化节等赛事活动，联动西城区青少年科技馆举办6场青少年“科普之夏”系列活动，不断提升青少年科学素质。</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outlineLvl w:val="1"/>
        <w:rPr>
          <w:rFonts w:hint="eastAsia" w:ascii="黑体" w:hAnsi="黑体" w:eastAsia="黑体" w:cs="黑体"/>
          <w:b/>
          <w:bCs/>
          <w:kern w:val="2"/>
          <w:sz w:val="28"/>
          <w:szCs w:val="28"/>
          <w:lang w:val="en-US" w:eastAsia="zh-CN" w:bidi="ar-SA"/>
        </w:rPr>
      </w:pPr>
      <w:r>
        <w:rPr>
          <w:rFonts w:hint="eastAsia" w:ascii="黑体" w:hAnsi="黑体" w:eastAsia="黑体" w:cs="黑体"/>
          <w:b w:val="0"/>
          <w:bCs w:val="0"/>
          <w:sz w:val="28"/>
          <w:szCs w:val="28"/>
          <w:highlight w:val="none"/>
          <w:lang w:val="en-US" w:eastAsia="zh-CN" w:bidi="ar-SA"/>
        </w:rPr>
        <w:t>三、</w:t>
      </w:r>
      <w:r>
        <w:rPr>
          <w:rFonts w:hint="eastAsia" w:ascii="黑体" w:hAnsi="黑体" w:eastAsia="黑体" w:cs="黑体"/>
          <w:b/>
          <w:bCs/>
          <w:kern w:val="2"/>
          <w:sz w:val="28"/>
          <w:szCs w:val="28"/>
          <w:lang w:val="en-US" w:eastAsia="zh-CN" w:bidi="ar-SA"/>
        </w:rPr>
        <w:t>预算管理情况分析</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1.财务管理</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街道根据《中华人民共和国预算法》、《中华人民共和国预算法实施条例》等法规规章，本着“量力而行、精打细算、突出重点”的原则，按照“保基本、保运转、保重点”的资金保障顺序安排部门预算，结合财力状况全盘考虑各部门安排支出，握好资金需求的轻重缓急，坚持把区委、区政府的重点事项和本街道重点事业发展履职工作的资金需求全部纳入部门预算予以安排，确保重点工作支出。</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街道财政预算强化预算刚性约束管理机制。每年的预算编制前，我们都安排足够的时间，要求各业务部门在充分调查论证和充分的民主程序上，按照“谋划工作在前，编制预算在后”的原则，科学、合理、准确、完整、有效地申报预算项目，细化预算支出，提高预算编制的准确性。各科室申报预算时要提前对下年重点工作有前瞻性的考虑安排，细化项目，增强预算的统筹计划性，减少第二年的调整和追加，财政科在通盘考虑全年的收支情况后，按照基本支出有保障、项目支出有重点的原则，量入而出，合理安排预算资金，保证预算编制完整、透明，确保各项收支全部纳入预算管理。   </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资产管理</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在资金管理方面。街道的一切资产均为</w:t>
      </w:r>
      <w:r>
        <w:rPr>
          <w:rFonts w:hint="eastAsia" w:ascii="仿宋_GB2312" w:hAnsi="仿宋_GB2312" w:eastAsia="仿宋_GB2312" w:cs="仿宋_GB2312"/>
          <w:sz w:val="28"/>
          <w:szCs w:val="28"/>
          <w:lang w:eastAsia="zh-CN"/>
        </w:rPr>
        <w:t>街道</w:t>
      </w:r>
      <w:r>
        <w:rPr>
          <w:rFonts w:hint="eastAsia" w:ascii="仿宋_GB2312" w:hAnsi="仿宋_GB2312" w:eastAsia="仿宋_GB2312" w:cs="仿宋_GB2312"/>
          <w:sz w:val="28"/>
          <w:szCs w:val="28"/>
        </w:rPr>
        <w:t>办事处所有，全部纳入街道账内统一核算和监督，街道在严格执行各项财务制度的基础上，照市、区财务管理规定，财政科按银行结算制度做好现金、银行存取款等流动资产的管理，实行严格的审批报销制度。</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固定资产管理方面。街道为了加强固定资产的管理，提高使用效益，保护公有财产安全，促进部门管理工作和业务活动的开展，在固定资产领导小组的统一领导下，财务部门，使用部门和行政办共同完成对部门固定资产的监督、管理、维修和使用。固定资产的新增、变动以及报废报损都是通过资产管理系统完成，与区财政局联网。对固定资产管理、库房物资管理和日常办公用品的采购实施专人负责制，建立电子帐套、固定资产出入库制度，使资产的流动和库存更加清晰。定期对固定资产进行全面的清查盘点，对账务进行及时调整清理，建立资产管理终身责任追究制，保证了固定资产的完整和安全；单位内科室有人员变动时，及时通知固定资产管理人员对资产的使用人、负责人及管理部门进行相应的变更。</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3.绩效管理</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展览路街道预算管理本着按责归口、完整规范；统筹安排，定额管理；实事求是、量入为出；真实合法、公开透明的原则。街道结合实际编制预算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算包括基本支出预算（人员支出预算、公用支出预算）和项目支出预算。基本支出预算：由人员支出和公用支出组成，人员经费按照批准的人员编制内实有人数，依照国家有关工资政策、规定的开支项目、开支标准进行编报。公用支出根据规定的档次套用定额核定预算。“三公”经费由财政定额安排。项目支出预算是为完成其特定的工作任务、事业发展目标、街道机构运转方面的支出，包括城市管理维护、社会事务管理、社区服务、设备购置、工程修缮、街道机构运转以及工委、办事处确定的其他项目支出。按照轻重缓急、保重点、保民生支出，厉行节约，统筹合理编制项目预算。</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4.结转结余率</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年度预算无结转结余。</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部门预决算差异率</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在决算</w:t>
      </w:r>
      <w:r>
        <w:rPr>
          <w:rFonts w:hint="eastAsia" w:ascii="仿宋_GB2312" w:hAnsi="仿宋_GB2312" w:eastAsia="仿宋_GB2312" w:cs="仿宋_GB2312"/>
          <w:color w:val="auto"/>
          <w:sz w:val="28"/>
          <w:szCs w:val="28"/>
          <w:lang w:val="en-US" w:eastAsia="zh-CN"/>
        </w:rPr>
        <w:t>过程</w:t>
      </w:r>
      <w:r>
        <w:rPr>
          <w:rFonts w:hint="eastAsia" w:ascii="仿宋_GB2312" w:hAnsi="仿宋_GB2312" w:eastAsia="仿宋_GB2312" w:cs="仿宋_GB2312"/>
          <w:color w:val="auto"/>
          <w:sz w:val="28"/>
          <w:szCs w:val="28"/>
        </w:rPr>
        <w:t>中，虽然经过预算调整，但在预算项目的实际执行过程中，仍会存在执行差异。预算执行差异率产生的主要原因主要有三个，一是基本支出项目有年终退休人员调整工资，及补发绩效管理奖金，二是个别项目列入年初预算，但在执行过程中因计划调整、外在因素等原因未能执行，三是有的科室预算申报不细，造成与年初申报预算内容与实际执行内容相比，偏差较大，资金使用率不高。</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auto"/>
          <w:sz w:val="28"/>
          <w:szCs w:val="28"/>
          <w:lang w:eastAsia="zh-CN"/>
        </w:rPr>
        <w:t>四、</w:t>
      </w:r>
      <w:r>
        <w:rPr>
          <w:rFonts w:hint="eastAsia" w:ascii="黑体" w:hAnsi="黑体" w:eastAsia="黑体" w:cs="黑体"/>
          <w:b/>
          <w:bCs/>
          <w:kern w:val="2"/>
          <w:sz w:val="28"/>
          <w:szCs w:val="28"/>
          <w:lang w:val="en-US" w:eastAsia="zh-CN" w:bidi="ar-SA"/>
        </w:rPr>
        <w:t>措施建议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bookmarkStart w:id="0" w:name="_Toc420333897"/>
      <w:r>
        <w:rPr>
          <w:rFonts w:hint="eastAsia" w:ascii="仿宋_GB2312" w:hAnsi="仿宋_GB2312" w:eastAsia="仿宋_GB2312" w:cs="仿宋_GB2312"/>
          <w:kern w:val="2"/>
          <w:sz w:val="28"/>
          <w:szCs w:val="28"/>
          <w:lang w:val="en-US" w:eastAsia="zh-CN" w:bidi="ar-SA"/>
        </w:rPr>
        <w:t>结合街道绩效评价工作中梳理出的问题，建议从以下三方面做好部门财政支出绩效评价工作。</w:t>
      </w:r>
      <w:bookmarkEnd w:id="0"/>
      <w:r>
        <w:rPr>
          <w:rFonts w:hint="eastAsia" w:ascii="仿宋_GB2312" w:hAnsi="仿宋_GB2312" w:eastAsia="仿宋_GB2312" w:cs="仿宋_GB2312"/>
          <w:kern w:val="2"/>
          <w:sz w:val="28"/>
          <w:szCs w:val="28"/>
          <w:lang w:val="en-US" w:eastAsia="zh-CN" w:bidi="ar-SA"/>
        </w:rPr>
        <w:t>　</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bookmarkStart w:id="1" w:name="_Toc420333898"/>
      <w:r>
        <w:rPr>
          <w:rFonts w:hint="eastAsia" w:ascii="仿宋_GB2312" w:hAnsi="仿宋_GB2312" w:eastAsia="仿宋_GB2312" w:cs="仿宋_GB2312"/>
          <w:kern w:val="2"/>
          <w:sz w:val="28"/>
          <w:szCs w:val="28"/>
          <w:lang w:val="en-US" w:eastAsia="zh-CN" w:bidi="ar-SA"/>
        </w:rPr>
        <w:t>一是加快预算绩效管理基础制度建设。探索构建覆盖事前、事中、事后的绩效管理制度和工作体系。特别是构建单位内部科室的协调合作机制等基础性的制度建设。通过进一步完善绩效管理的基础工作，增强绩效管理的可操作性、约束性和效率性。</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是设置科学合理的绩效指标体系。在制度上要建立健全财政支出项目的绩效目标管理机制，在指标设置上要根据不同部门、项目分别建立绩效指标，尤其是财政支出项目的绩效指标要按照分类的原则，针对不同项目财政支出的使用效果来考虑绩效指标的设置，既要简单适用，又要易于操作，并要求通过财政部门的审核认可。</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是强化财政支出绩效评价结果应用。通过财政支出绩效评价要达到两方面的目的，既要及时发现各科室资金使用绩效和存在的问题，并提出相应建议，形成财政资金使用约束机制；又要促使财政资金使用科室严格执行预算、严格项目运行管理，形成自我约束、内部规范的资金管理机制。</w:t>
      </w:r>
      <w:bookmarkEnd w:id="1"/>
    </w:p>
    <w:p>
      <w:pPr>
        <w:keepNext w:val="0"/>
        <w:keepLines w:val="0"/>
        <w:pageBreakBefore w:val="0"/>
        <w:widowControl w:val="0"/>
        <w:kinsoku/>
        <w:wordWrap/>
        <w:overflowPunct/>
        <w:topLinePunct w:val="0"/>
        <w:autoSpaceDE/>
        <w:autoSpaceDN/>
        <w:bidi w:val="0"/>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551BE"/>
    <w:rsid w:val="01ED704A"/>
    <w:rsid w:val="023174E1"/>
    <w:rsid w:val="030B5C5D"/>
    <w:rsid w:val="03AE04C4"/>
    <w:rsid w:val="06A6746D"/>
    <w:rsid w:val="099E120E"/>
    <w:rsid w:val="0CC6097E"/>
    <w:rsid w:val="0D2A72DC"/>
    <w:rsid w:val="0F6861CE"/>
    <w:rsid w:val="104066FB"/>
    <w:rsid w:val="13501438"/>
    <w:rsid w:val="16F819ED"/>
    <w:rsid w:val="184C75A8"/>
    <w:rsid w:val="188519FE"/>
    <w:rsid w:val="189757C7"/>
    <w:rsid w:val="198871DF"/>
    <w:rsid w:val="1A3D5F90"/>
    <w:rsid w:val="1B7D1038"/>
    <w:rsid w:val="1CB20DAE"/>
    <w:rsid w:val="204C516C"/>
    <w:rsid w:val="20A36574"/>
    <w:rsid w:val="21AC238A"/>
    <w:rsid w:val="23FC2BCE"/>
    <w:rsid w:val="25EA474E"/>
    <w:rsid w:val="296E44FC"/>
    <w:rsid w:val="2BEB103B"/>
    <w:rsid w:val="2F063DAA"/>
    <w:rsid w:val="2FB375AB"/>
    <w:rsid w:val="2FBE6328"/>
    <w:rsid w:val="33D868DD"/>
    <w:rsid w:val="35972F35"/>
    <w:rsid w:val="375B0DF4"/>
    <w:rsid w:val="37735673"/>
    <w:rsid w:val="3A432F83"/>
    <w:rsid w:val="3BC06EE0"/>
    <w:rsid w:val="3BC172D6"/>
    <w:rsid w:val="3C4C73D2"/>
    <w:rsid w:val="3CD34FB2"/>
    <w:rsid w:val="3D103A0E"/>
    <w:rsid w:val="3DB370B1"/>
    <w:rsid w:val="3E1D53DE"/>
    <w:rsid w:val="40051B7A"/>
    <w:rsid w:val="43197B32"/>
    <w:rsid w:val="43A131F0"/>
    <w:rsid w:val="445F0332"/>
    <w:rsid w:val="44C764EB"/>
    <w:rsid w:val="46B55B63"/>
    <w:rsid w:val="46CD5DA5"/>
    <w:rsid w:val="47C36AC7"/>
    <w:rsid w:val="4B227861"/>
    <w:rsid w:val="4BD17023"/>
    <w:rsid w:val="4BF6198A"/>
    <w:rsid w:val="4D9F482F"/>
    <w:rsid w:val="4DC634A0"/>
    <w:rsid w:val="4E422BE7"/>
    <w:rsid w:val="50983C15"/>
    <w:rsid w:val="53A53A75"/>
    <w:rsid w:val="551F3600"/>
    <w:rsid w:val="55A14DCC"/>
    <w:rsid w:val="56383679"/>
    <w:rsid w:val="569E311C"/>
    <w:rsid w:val="585D7537"/>
    <w:rsid w:val="59C551BE"/>
    <w:rsid w:val="5E116933"/>
    <w:rsid w:val="5ECB2EC9"/>
    <w:rsid w:val="625B5AE3"/>
    <w:rsid w:val="62E1001C"/>
    <w:rsid w:val="64163B76"/>
    <w:rsid w:val="647D31EA"/>
    <w:rsid w:val="66D87179"/>
    <w:rsid w:val="6753134E"/>
    <w:rsid w:val="6C3B2EBB"/>
    <w:rsid w:val="6DD926A4"/>
    <w:rsid w:val="6E5245EB"/>
    <w:rsid w:val="70A979D6"/>
    <w:rsid w:val="711C01DB"/>
    <w:rsid w:val="7735729E"/>
    <w:rsid w:val="77A05CB7"/>
    <w:rsid w:val="789A0C0D"/>
    <w:rsid w:val="7CF94F41"/>
    <w:rsid w:val="7D4E794B"/>
    <w:rsid w:val="7D824011"/>
    <w:rsid w:val="7E1F66B4"/>
    <w:rsid w:val="7E934D44"/>
    <w:rsid w:val="7EAB4BCB"/>
    <w:rsid w:val="7F1C3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2025-08-28T08:43:00Z</dcterms:created>
  <dc:creator>Administrator</dc:creator>
  <cp:lastModifiedBy>Administrator</cp:lastModifiedBy>
  <dcterms:modified xsi:type="dcterms:W3CDTF">2025-08-28T08:46:19Z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