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 xml:space="preserve">第一部分 </w:t>
      </w:r>
      <w:r>
        <w:rPr>
          <w:rFonts w:hint="eastAsia" w:ascii="宋体" w:hAnsi="宋体" w:cs="宋体"/>
          <w:b/>
          <w:bCs/>
          <w:spacing w:val="40"/>
          <w:kern w:val="0"/>
          <w:sz w:val="32"/>
          <w:szCs w:val="32"/>
          <w:lang w:eastAsia="zh-CN"/>
        </w:rPr>
        <w:t>2024</w:t>
      </w:r>
      <w:r>
        <w:rPr>
          <w:rFonts w:hint="eastAsia" w:ascii="宋体" w:hAnsi="宋体" w:cs="宋体"/>
          <w:b/>
          <w:bCs/>
          <w:spacing w:val="40"/>
          <w:kern w:val="0"/>
          <w:sz w:val="32"/>
          <w:szCs w:val="32"/>
        </w:rPr>
        <w:t>年度部门决算报表</w:t>
      </w:r>
    </w:p>
    <w:p>
      <w:pPr>
        <w:pStyle w:val="3"/>
        <w:rPr>
          <w:b w:val="0"/>
          <w:bCs w:val="0"/>
        </w:rPr>
        <w:sectPr>
          <w:footerReference r:id="rId3"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西城园管委会是区政府派出机构，区科委是区政府工作部门，西城园管委</w:t>
      </w:r>
      <w:r>
        <w:rPr>
          <w:rFonts w:hint="eastAsia" w:ascii="仿宋_GB2312" w:eastAsia="仿宋_GB2312" w:cs="Times New Roman"/>
          <w:sz w:val="28"/>
          <w:szCs w:val="28"/>
          <w:lang w:eastAsia="zh-CN"/>
        </w:rPr>
        <w:t>会</w:t>
      </w:r>
      <w:r>
        <w:rPr>
          <w:rFonts w:hint="eastAsia" w:ascii="仿宋_GB2312" w:hAnsi="Times New Roman" w:eastAsia="仿宋_GB2312" w:cs="Times New Roman"/>
          <w:sz w:val="28"/>
          <w:szCs w:val="28"/>
        </w:rPr>
        <w:t>与区科委合署办公。主要职责：</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1.宣传贯彻落实国家和北京市关于科技创新及中关村国家自主创新示范区的法律、法规、规章和政策，组织拟订相关政策措施并组织实施。</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2.负责编制本区科技、科普工作规划并组织实施。负责编制园区发展规划、空间规划和产业规划，拟订园区发展建设方案，并组织实施。</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3.牵头推进国家级金融科技示范区建设，拟订相关支持政策措施并组织实施。</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4.统筹推进本区科技创新体系建设、科技服务体系建设，推动科技成果转移转化。负责本区科技专项资金实施。负责科技项目管理和科技保密等工作。</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5.统筹推进本区科技服务业发展，牵头负责本区科技服务业企业服务工作。</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6.负责园区产业促进工作。落实园区产业布局定位，推动园区重点工程、特色产业基地建设,服务重大项目落地，推进园区产业结构优化升级。</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7.会同有关部门开展科技人才队伍建设，协调开展本区科技创新创业服务。统筹推进园区人才工作，加强高层次人才服务。</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8.牵头负责园区企业服务工作，优化园区发展环境，协调开展园区公共服务。负责本区科技领域和园区对外交流合作，统筹推进科技创新文化建设。</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9.按照“管行业必须管安全、管业务必须管安全、管生产经营必须管安全”的要求，承担相关安全生产工作职责。</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10.完成区委、区政府交办的其他任务。</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9650.44</w:t>
      </w:r>
      <w:r>
        <w:rPr>
          <w:rFonts w:hint="eastAsia" w:ascii="仿宋_GB2312" w:eastAsia="仿宋_GB2312"/>
          <w:sz w:val="28"/>
          <w:szCs w:val="28"/>
        </w:rPr>
        <w:t>万元，</w:t>
      </w:r>
      <w:r>
        <w:rPr>
          <w:rFonts w:ascii="仿宋_GB2312" w:eastAsia="仿宋_GB2312"/>
          <w:sz w:val="28"/>
          <w:szCs w:val="28"/>
        </w:rPr>
        <w:t>比上</w:t>
      </w:r>
      <w:r>
        <w:rPr>
          <w:rFonts w:hint="eastAsia" w:ascii="仿宋_GB2312" w:eastAsia="仿宋_GB2312"/>
          <w:sz w:val="28"/>
          <w:szCs w:val="28"/>
        </w:rPr>
        <w:t>年增加398.33万元，增长4.31%。</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9650.44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398.33万元，增长4.31%</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9650.44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9650.44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0"/>
        <w:jc w:val="center"/>
      </w:pPr>
      <w:r>
        <w:rPr>
          <w:rFonts w:hint="eastAsia" w:ascii="仿宋_GB2312" w:eastAsia="仿宋_GB2312"/>
          <w:color w:val="000000"/>
          <w:sz w:val="32"/>
          <w:szCs w:val="32"/>
          <w:highlight w:val="none"/>
          <w:lang w:val="en-US" w:eastAsia="zh-CN"/>
        </w:rPr>
        <w:t>图1：收入预算</w:t>
      </w:r>
    </w:p>
    <w:p>
      <w:pPr>
        <w:pStyle w:val="2"/>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9650.44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398.33万元，增长4.31%，其中：基本支出</w:t>
      </w:r>
      <w:r>
        <w:rPr>
          <w:rFonts w:ascii="仿宋_GB2312" w:eastAsia="仿宋_GB2312"/>
          <w:sz w:val="28"/>
          <w:szCs w:val="28"/>
        </w:rPr>
        <w:t>1267.51</w:t>
      </w:r>
      <w:r>
        <w:rPr>
          <w:rFonts w:hint="eastAsia" w:ascii="仿宋_GB2312" w:eastAsia="仿宋_GB2312"/>
          <w:sz w:val="28"/>
          <w:szCs w:val="28"/>
        </w:rPr>
        <w:t>万元，占支出合计的</w:t>
      </w:r>
      <w:r>
        <w:rPr>
          <w:rFonts w:hint="eastAsia" w:ascii="仿宋_GB2312" w:eastAsia="仿宋_GB2312"/>
          <w:sz w:val="28"/>
          <w:szCs w:val="28"/>
          <w:lang w:eastAsia="zh-CN"/>
        </w:rPr>
        <w:t>13.13</w:t>
      </w:r>
      <w:r>
        <w:rPr>
          <w:rFonts w:hint="eastAsia" w:ascii="仿宋_GB2312" w:eastAsia="仿宋_GB2312"/>
          <w:sz w:val="28"/>
          <w:szCs w:val="28"/>
        </w:rPr>
        <w:t>%；项目支出</w:t>
      </w:r>
      <w:r>
        <w:rPr>
          <w:rFonts w:ascii="仿宋_GB2312" w:eastAsia="仿宋_GB2312"/>
          <w:sz w:val="28"/>
          <w:szCs w:val="28"/>
        </w:rPr>
        <w:t>8382.93</w:t>
      </w:r>
      <w:r>
        <w:rPr>
          <w:rFonts w:hint="eastAsia" w:ascii="仿宋_GB2312" w:eastAsia="仿宋_GB2312"/>
          <w:sz w:val="28"/>
          <w:szCs w:val="28"/>
        </w:rPr>
        <w:t>万元，占支出合计的</w:t>
      </w:r>
      <w:r>
        <w:rPr>
          <w:rFonts w:hint="eastAsia" w:ascii="仿宋_GB2312" w:eastAsia="仿宋_GB2312"/>
          <w:sz w:val="28"/>
          <w:szCs w:val="28"/>
          <w:lang w:eastAsia="zh-CN"/>
        </w:rPr>
        <w:t>86.87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9650.44</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rPr>
        <w:t>398.33万元，增长4.31%。主要原因：</w:t>
      </w:r>
      <w:r>
        <w:rPr>
          <w:rFonts w:hint="eastAsia" w:ascii="仿宋_GB2312" w:eastAsia="仿宋_GB2312"/>
          <w:sz w:val="28"/>
          <w:szCs w:val="28"/>
          <w:lang w:eastAsia="zh-CN"/>
        </w:rPr>
        <w:t>机构改革人员调入，导致</w:t>
      </w:r>
      <w:r>
        <w:rPr>
          <w:rFonts w:hint="eastAsia" w:ascii="仿宋_GB2312" w:eastAsia="仿宋_GB2312"/>
          <w:sz w:val="28"/>
          <w:szCs w:val="28"/>
        </w:rPr>
        <w:t>财政拨款收、</w:t>
      </w:r>
      <w:r>
        <w:rPr>
          <w:rFonts w:ascii="仿宋_GB2312" w:eastAsia="仿宋_GB2312"/>
          <w:sz w:val="28"/>
          <w:szCs w:val="28"/>
        </w:rPr>
        <w:t>支</w:t>
      </w:r>
      <w:r>
        <w:rPr>
          <w:rFonts w:hint="eastAsia" w:ascii="仿宋_GB2312" w:eastAsia="仿宋_GB2312"/>
          <w:sz w:val="28"/>
          <w:szCs w:val="28"/>
          <w:lang w:eastAsia="zh-CN"/>
        </w:rPr>
        <w:t>增加</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9650.44</w:t>
      </w:r>
      <w:r>
        <w:rPr>
          <w:rFonts w:hint="eastAsia" w:ascii="仿宋_GB2312" w:eastAsia="仿宋_GB2312"/>
          <w:sz w:val="28"/>
          <w:szCs w:val="28"/>
        </w:rPr>
        <w:t>万元，主要用于以下方面（按大类）：科学技术支出9270.83万元，占本年财政拨款支出</w:t>
      </w:r>
      <w:r>
        <w:rPr>
          <w:rFonts w:hint="eastAsia" w:ascii="仿宋_GB2312" w:eastAsia="仿宋_GB2312"/>
          <w:sz w:val="28"/>
          <w:szCs w:val="28"/>
          <w:lang w:val="en-US" w:eastAsia="zh-CN"/>
        </w:rPr>
        <w:t>96.07</w:t>
      </w:r>
      <w:r>
        <w:rPr>
          <w:rFonts w:hint="eastAsia" w:ascii="仿宋_GB2312" w:eastAsia="仿宋_GB2312"/>
          <w:sz w:val="28"/>
          <w:szCs w:val="28"/>
        </w:rPr>
        <w:t>%；社会保障和就业支出182.38</w:t>
      </w:r>
      <w:r>
        <w:rPr>
          <w:rFonts w:hint="eastAsia" w:ascii="仿宋_GB2312" w:eastAsia="仿宋_GB2312"/>
          <w:sz w:val="28"/>
          <w:szCs w:val="28"/>
          <w:lang w:eastAsia="zh-CN"/>
        </w:rPr>
        <w:t>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1.89%；</w:t>
      </w:r>
      <w:r>
        <w:rPr>
          <w:rFonts w:hint="eastAsia" w:ascii="仿宋_GB2312" w:eastAsia="仿宋_GB2312"/>
          <w:sz w:val="28"/>
          <w:szCs w:val="28"/>
        </w:rPr>
        <w:t>卫生健康支出</w:t>
      </w:r>
      <w:r>
        <w:rPr>
          <w:rFonts w:hint="eastAsia" w:ascii="仿宋_GB2312" w:eastAsia="仿宋_GB2312"/>
          <w:sz w:val="28"/>
          <w:szCs w:val="28"/>
          <w:lang w:val="en-US" w:eastAsia="zh-CN"/>
        </w:rPr>
        <w:t>98.23万元，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1.02%；</w:t>
      </w:r>
      <w:r>
        <w:rPr>
          <w:rFonts w:hint="eastAsia" w:ascii="仿宋_GB2312" w:eastAsia="仿宋_GB2312"/>
          <w:sz w:val="28"/>
          <w:szCs w:val="28"/>
        </w:rPr>
        <w:t>住房保障支出</w:t>
      </w:r>
      <w:r>
        <w:rPr>
          <w:rFonts w:hint="eastAsia" w:ascii="仿宋_GB2312" w:eastAsia="仿宋_GB2312"/>
          <w:sz w:val="28"/>
          <w:szCs w:val="28"/>
          <w:lang w:val="en-US" w:eastAsia="zh-CN"/>
        </w:rPr>
        <w:t>99万元，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1.03%</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“科学技术支出”202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3047.14</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年度决算9270.83万元，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304.25</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w:t>
      </w:r>
      <w:r>
        <w:rPr>
          <w:rFonts w:hint="eastAsia" w:ascii="仿宋_GB2312" w:eastAsia="仿宋_GB2312"/>
          <w:sz w:val="28"/>
          <w:szCs w:val="28"/>
          <w:highlight w:val="none"/>
        </w:rPr>
        <w:t>其他科学技术支出</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3047.14</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年度决算9270.83万元，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304.25</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年中追加科创十条政策兑现资金等项目预算；由于机构改革，追加西城区科技专项项目支持资金、房租等项目预算</w:t>
      </w:r>
      <w:r>
        <w:rPr>
          <w:rFonts w:hint="eastAsia" w:ascii="仿宋_GB2312" w:eastAsia="仿宋_GB2312"/>
          <w:sz w:val="28"/>
          <w:szCs w:val="28"/>
          <w:highlight w:val="none"/>
        </w:rPr>
        <w:t>。</w:t>
      </w:r>
    </w:p>
    <w:p>
      <w:pPr>
        <w:spacing w:line="580"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w:t>
      </w:r>
      <w:r>
        <w:rPr>
          <w:rFonts w:hint="eastAsia" w:ascii="仿宋_GB2312" w:eastAsia="仿宋_GB2312"/>
          <w:sz w:val="28"/>
          <w:szCs w:val="28"/>
        </w:rPr>
        <w:t>“社会保障和就业支出”</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115.79</w:t>
      </w:r>
      <w:r>
        <w:rPr>
          <w:rFonts w:hint="eastAsia" w:ascii="仿宋_GB2312" w:eastAsia="仿宋_GB2312"/>
          <w:sz w:val="28"/>
          <w:szCs w:val="28"/>
          <w:highlight w:val="none"/>
        </w:rPr>
        <w:t>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年度决算182.38万元，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157.51%。其中：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highlight w:val="none"/>
          <w:lang w:val="en-US" w:eastAsia="zh-CN"/>
        </w:rPr>
        <w:t>“行政事业单位养老支出”</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115.79</w:t>
      </w:r>
      <w:r>
        <w:rPr>
          <w:rFonts w:hint="eastAsia" w:ascii="仿宋_GB2312" w:eastAsia="仿宋_GB2312"/>
          <w:sz w:val="28"/>
          <w:szCs w:val="28"/>
          <w:highlight w:val="none"/>
        </w:rPr>
        <w:t>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年度决算182.38万元，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157.51%。</w:t>
      </w:r>
      <w:r>
        <w:rPr>
          <w:rFonts w:hint="eastAsia" w:ascii="仿宋_GB2312" w:eastAsia="仿宋_GB2312"/>
          <w:sz w:val="28"/>
          <w:szCs w:val="28"/>
        </w:rPr>
        <w:t>主要原因：</w:t>
      </w:r>
      <w:r>
        <w:rPr>
          <w:rFonts w:hint="eastAsia" w:ascii="仿宋_GB2312" w:eastAsia="仿宋_GB2312"/>
          <w:sz w:val="28"/>
          <w:szCs w:val="28"/>
          <w:lang w:eastAsia="zh-CN"/>
        </w:rPr>
        <w:t>机构改革人员调入，</w:t>
      </w:r>
      <w:r>
        <w:rPr>
          <w:rFonts w:hint="eastAsia" w:ascii="仿宋_GB2312" w:eastAsia="仿宋_GB2312"/>
          <w:sz w:val="28"/>
          <w:szCs w:val="28"/>
          <w:highlight w:val="none"/>
          <w:lang w:val="en-US" w:eastAsia="zh-CN"/>
        </w:rPr>
        <w:t>行政事业单位养老支出</w:t>
      </w:r>
      <w:r>
        <w:rPr>
          <w:rFonts w:hint="eastAsia" w:ascii="仿宋_GB2312" w:eastAsia="仿宋_GB2312"/>
          <w:sz w:val="28"/>
          <w:szCs w:val="28"/>
          <w:lang w:eastAsia="zh-CN"/>
        </w:rPr>
        <w:t>增加。</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lang w:val="en-US" w:eastAsia="zh-CN"/>
        </w:rPr>
        <w:t>3、</w:t>
      </w:r>
      <w:r>
        <w:rPr>
          <w:rFonts w:hint="eastAsia" w:ascii="仿宋_GB2312" w:eastAsia="仿宋_GB2312"/>
          <w:sz w:val="28"/>
          <w:szCs w:val="28"/>
        </w:rPr>
        <w:t>“卫生健康支出”</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68.23万元，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98.23</w:t>
      </w:r>
      <w:r>
        <w:rPr>
          <w:rFonts w:hint="eastAsia" w:ascii="仿宋_GB2312" w:eastAsia="仿宋_GB2312"/>
          <w:sz w:val="28"/>
          <w:szCs w:val="28"/>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143.97%。</w:t>
      </w:r>
      <w:r>
        <w:rPr>
          <w:rFonts w:hint="eastAsia" w:ascii="仿宋_GB2312" w:eastAsia="仿宋_GB2312"/>
          <w:sz w:val="28"/>
          <w:szCs w:val="28"/>
          <w:highlight w:val="none"/>
        </w:rPr>
        <w:t>其中：</w:t>
      </w:r>
    </w:p>
    <w:p>
      <w:pPr>
        <w:pStyle w:val="2"/>
        <w:rPr>
          <w:rFonts w:hint="eastAsia" w:ascii="仿宋_GB2312" w:eastAsia="仿宋_GB2312"/>
          <w:sz w:val="28"/>
          <w:szCs w:val="28"/>
          <w:lang w:eastAsia="zh-CN"/>
        </w:rPr>
      </w:pPr>
      <w:r>
        <w:rPr>
          <w:rFonts w:hint="eastAsia" w:ascii="仿宋_GB2312" w:hAnsi="Times New Roman" w:eastAsia="仿宋_GB2312" w:cs="Times New Roman"/>
          <w:kern w:val="2"/>
          <w:sz w:val="28"/>
          <w:szCs w:val="28"/>
          <w:highlight w:val="none"/>
          <w:lang w:val="en-US" w:eastAsia="zh-CN" w:bidi="ar-SA"/>
        </w:rPr>
        <w:t>“行政事业单位医疗”</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68.23万元，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98.23</w:t>
      </w:r>
      <w:r>
        <w:rPr>
          <w:rFonts w:hint="eastAsia" w:ascii="仿宋_GB2312" w:eastAsia="仿宋_GB2312"/>
          <w:sz w:val="28"/>
          <w:szCs w:val="28"/>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143.97%。</w:t>
      </w:r>
      <w:r>
        <w:rPr>
          <w:rFonts w:hint="eastAsia" w:ascii="仿宋_GB2312" w:eastAsia="仿宋_GB2312"/>
          <w:sz w:val="28"/>
          <w:szCs w:val="28"/>
        </w:rPr>
        <w:t>主要原因：</w:t>
      </w:r>
      <w:r>
        <w:rPr>
          <w:rFonts w:hint="eastAsia" w:ascii="仿宋_GB2312" w:eastAsia="仿宋_GB2312"/>
          <w:sz w:val="28"/>
          <w:szCs w:val="28"/>
          <w:lang w:eastAsia="zh-CN"/>
        </w:rPr>
        <w:t>机构改革人员调入，</w:t>
      </w:r>
      <w:r>
        <w:rPr>
          <w:rFonts w:hint="eastAsia" w:ascii="仿宋_GB2312" w:hAnsi="Times New Roman" w:eastAsia="仿宋_GB2312" w:cs="Times New Roman"/>
          <w:kern w:val="2"/>
          <w:sz w:val="28"/>
          <w:szCs w:val="28"/>
          <w:highlight w:val="none"/>
          <w:lang w:val="en-US" w:eastAsia="zh-CN" w:bidi="ar-SA"/>
        </w:rPr>
        <w:t>行政事业单位医疗</w:t>
      </w:r>
      <w:r>
        <w:rPr>
          <w:rFonts w:hint="eastAsia" w:ascii="仿宋_GB2312" w:eastAsia="仿宋_GB2312"/>
          <w:sz w:val="28"/>
          <w:szCs w:val="28"/>
        </w:rPr>
        <w:t>支出</w:t>
      </w:r>
      <w:r>
        <w:rPr>
          <w:rFonts w:hint="eastAsia" w:ascii="仿宋_GB2312" w:eastAsia="仿宋_GB2312"/>
          <w:sz w:val="28"/>
          <w:szCs w:val="28"/>
          <w:lang w:eastAsia="zh-CN"/>
        </w:rPr>
        <w:t>增加。</w:t>
      </w:r>
    </w:p>
    <w:p>
      <w:pPr>
        <w:numPr>
          <w:ilvl w:val="0"/>
          <w:numId w:val="0"/>
        </w:numPr>
        <w:spacing w:line="58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lang w:val="en-US" w:eastAsia="zh-CN"/>
        </w:rPr>
        <w:t>4、</w:t>
      </w:r>
      <w:r>
        <w:rPr>
          <w:rFonts w:hint="eastAsia" w:ascii="仿宋_GB2312" w:eastAsia="仿宋_GB2312"/>
          <w:sz w:val="28"/>
          <w:szCs w:val="28"/>
        </w:rPr>
        <w:t>“住房保障支出”</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69.99万元，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99.00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143.48%。其中：</w:t>
      </w:r>
    </w:p>
    <w:p>
      <w:pPr>
        <w:pStyle w:val="2"/>
        <w:rPr>
          <w:rFonts w:hint="eastAsia" w:ascii="仿宋_GB2312" w:eastAsia="仿宋_GB2312"/>
          <w:sz w:val="28"/>
          <w:szCs w:val="28"/>
        </w:rPr>
      </w:pPr>
      <w:r>
        <w:rPr>
          <w:rFonts w:hint="eastAsia" w:ascii="仿宋_GB2312" w:eastAsia="仿宋_GB2312"/>
          <w:sz w:val="28"/>
          <w:szCs w:val="28"/>
          <w:highlight w:val="none"/>
          <w:lang w:val="en-US" w:eastAsia="zh-CN"/>
        </w:rPr>
        <w:t>“住房改革支出”</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69.99万元，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99.00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143.48%。</w:t>
      </w:r>
      <w:r>
        <w:rPr>
          <w:rFonts w:hint="eastAsia" w:ascii="仿宋_GB2312" w:eastAsia="仿宋_GB2312"/>
          <w:sz w:val="28"/>
          <w:szCs w:val="28"/>
        </w:rPr>
        <w:t>主要原因：</w:t>
      </w:r>
      <w:r>
        <w:rPr>
          <w:rFonts w:hint="eastAsia" w:ascii="仿宋_GB2312" w:eastAsia="仿宋_GB2312"/>
          <w:sz w:val="28"/>
          <w:szCs w:val="28"/>
          <w:lang w:eastAsia="zh-CN"/>
        </w:rPr>
        <w:t>机构改革人员调入，</w:t>
      </w:r>
      <w:r>
        <w:rPr>
          <w:rFonts w:hint="eastAsia" w:ascii="仿宋_GB2312" w:eastAsia="仿宋_GB2312"/>
          <w:sz w:val="28"/>
          <w:szCs w:val="28"/>
        </w:rPr>
        <w:t>社会保障和就业支出</w:t>
      </w:r>
      <w:r>
        <w:rPr>
          <w:rFonts w:hint="eastAsia" w:ascii="仿宋_GB2312" w:eastAsia="仿宋_GB2312"/>
          <w:sz w:val="28"/>
          <w:szCs w:val="28"/>
          <w:lang w:eastAsia="zh-CN"/>
        </w:rPr>
        <w:t>增加。</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1267.51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34.35</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34.35</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34.35</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34.35</w:t>
      </w:r>
      <w:r>
        <w:rPr>
          <w:rFonts w:hint="eastAsia" w:ascii="仿宋_GB2312" w:eastAsia="仿宋_GB2312"/>
          <w:sz w:val="28"/>
          <w:szCs w:val="28"/>
        </w:rPr>
        <w:t>万元。主要原因：</w:t>
      </w:r>
      <w:r>
        <w:rPr>
          <w:rFonts w:hint="eastAsia" w:ascii="仿宋_GB2312" w:eastAsia="仿宋_GB2312"/>
          <w:sz w:val="28"/>
          <w:szCs w:val="28"/>
          <w:lang w:eastAsia="zh-CN"/>
        </w:rPr>
        <w:t>根据上级任务安排，因公出国（境）</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年度因公出国</w:t>
      </w:r>
      <w:r>
        <w:rPr>
          <w:rFonts w:hint="eastAsia" w:ascii="仿宋_GB2312" w:hAnsi="Times New Roman" w:eastAsia="仿宋_GB2312" w:cs="Times New Roman"/>
          <w:sz w:val="28"/>
          <w:szCs w:val="28"/>
          <w:lang w:val="en-US" w:eastAsia="zh-CN"/>
        </w:rPr>
        <w:t>（境）费用主要用于“创新体系建设与管理”境外培训班（德国）、“创新资源聚集区建设与管理”境外培训班（法国）、赴芬兰、挪威招商引资、赴新加坡招商引资等方面</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5</w:t>
      </w:r>
      <w:r>
        <w:rPr>
          <w:rFonts w:hint="eastAsia" w:ascii="仿宋_GB2312" w:eastAsia="仿宋_GB2312"/>
          <w:sz w:val="28"/>
          <w:szCs w:val="28"/>
        </w:rPr>
        <w:t>个、</w:t>
      </w:r>
      <w:r>
        <w:rPr>
          <w:rFonts w:hint="eastAsia" w:ascii="仿宋_GB2312" w:eastAsia="仿宋_GB2312"/>
          <w:sz w:val="28"/>
          <w:szCs w:val="28"/>
          <w:lang w:eastAsia="zh-CN"/>
        </w:rPr>
        <w:t>8</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0</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68.59</w:t>
      </w:r>
      <w:r>
        <w:rPr>
          <w:rFonts w:hint="eastAsia" w:ascii="仿宋_GB2312" w:eastAsia="仿宋_GB2312"/>
          <w:sz w:val="28"/>
          <w:szCs w:val="28"/>
        </w:rPr>
        <w:t>万元，比上年增加</w:t>
      </w:r>
      <w:r>
        <w:rPr>
          <w:rFonts w:hint="eastAsia" w:ascii="仿宋_GB2312" w:eastAsia="仿宋_GB2312"/>
          <w:sz w:val="28"/>
          <w:szCs w:val="28"/>
          <w:lang w:val="en-US" w:eastAsia="zh-CN"/>
        </w:rPr>
        <w:t>6.51</w:t>
      </w:r>
      <w:r>
        <w:rPr>
          <w:rFonts w:hint="eastAsia" w:ascii="仿宋_GB2312" w:eastAsia="仿宋_GB2312"/>
          <w:sz w:val="28"/>
          <w:szCs w:val="28"/>
        </w:rPr>
        <w:t>万元，增加原因：</w:t>
      </w:r>
      <w:r>
        <w:rPr>
          <w:rFonts w:hint="eastAsia" w:ascii="仿宋_GB2312" w:hAnsi="Times New Roman" w:eastAsia="仿宋_GB2312" w:cs="Times New Roman"/>
          <w:sz w:val="28"/>
          <w:szCs w:val="28"/>
          <w:lang w:val="en-US" w:eastAsia="zh-CN"/>
        </w:rPr>
        <w:t>机构改革人员调入，公用经费支出增加</w:t>
      </w:r>
      <w:r>
        <w:rPr>
          <w:rFonts w:hint="eastAsia" w:ascii="仿宋_GB2312" w:eastAsia="仿宋_GB2312"/>
          <w:sz w:val="28"/>
          <w:szCs w:val="28"/>
        </w:rPr>
        <w:t>。</w:t>
      </w:r>
    </w:p>
    <w:p>
      <w:pPr>
        <w:ind w:left="540"/>
        <w:rPr>
          <w:rFonts w:hint="eastAsia" w:ascii="黑体" w:eastAsia="黑体"/>
          <w:sz w:val="28"/>
          <w:szCs w:val="28"/>
          <w:highlight w:val="none"/>
        </w:rPr>
      </w:pPr>
      <w:r>
        <w:rPr>
          <w:rFonts w:hint="eastAsia" w:ascii="黑体" w:eastAsia="黑体"/>
          <w:sz w:val="28"/>
          <w:szCs w:val="28"/>
          <w:highlight w:val="none"/>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848.82</w:t>
      </w:r>
      <w:r>
        <w:rPr>
          <w:rFonts w:hint="eastAsia" w:ascii="仿宋_GB2312" w:eastAsia="仿宋_GB2312"/>
          <w:sz w:val="28"/>
          <w:szCs w:val="28"/>
        </w:rPr>
        <w:t>万元，其中：政府采购货物支出</w:t>
      </w:r>
      <w:r>
        <w:rPr>
          <w:rFonts w:ascii="仿宋_GB2312" w:eastAsia="仿宋_GB2312"/>
          <w:sz w:val="28"/>
          <w:szCs w:val="28"/>
        </w:rPr>
        <w:t>29.31</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819.52</w:t>
      </w:r>
      <w:r>
        <w:rPr>
          <w:rFonts w:hint="eastAsia" w:ascii="仿宋_GB2312" w:eastAsia="仿宋_GB2312"/>
          <w:sz w:val="28"/>
          <w:szCs w:val="28"/>
        </w:rPr>
        <w:t>万元。授予中小企业合同金额</w:t>
      </w:r>
      <w:r>
        <w:rPr>
          <w:rFonts w:ascii="仿宋_GB2312" w:eastAsia="仿宋_GB2312"/>
          <w:sz w:val="28"/>
          <w:szCs w:val="28"/>
        </w:rPr>
        <w:t>694.19</w:t>
      </w:r>
      <w:r>
        <w:rPr>
          <w:rFonts w:hint="eastAsia" w:ascii="仿宋_GB2312" w:eastAsia="仿宋_GB2312"/>
          <w:sz w:val="28"/>
          <w:szCs w:val="28"/>
        </w:rPr>
        <w:t>万元，占政府采购支出总额的</w:t>
      </w:r>
      <w:r>
        <w:rPr>
          <w:rFonts w:hint="eastAsia" w:ascii="仿宋_GB2312" w:eastAsia="仿宋_GB2312"/>
          <w:sz w:val="28"/>
          <w:szCs w:val="28"/>
          <w:lang w:eastAsia="zh-CN"/>
        </w:rPr>
        <w:t>81.78</w:t>
      </w:r>
      <w:r>
        <w:rPr>
          <w:rFonts w:hint="eastAsia" w:ascii="仿宋_GB2312" w:eastAsia="仿宋_GB2312"/>
          <w:sz w:val="28"/>
          <w:szCs w:val="28"/>
        </w:rPr>
        <w:t>%，其中：授予小微企业合同金额</w:t>
      </w:r>
      <w:r>
        <w:rPr>
          <w:rFonts w:ascii="仿宋_GB2312" w:eastAsia="仿宋_GB2312"/>
          <w:sz w:val="28"/>
          <w:szCs w:val="28"/>
        </w:rPr>
        <w:t>694.19</w:t>
      </w:r>
      <w:r>
        <w:rPr>
          <w:rFonts w:hint="eastAsia" w:ascii="仿宋_GB2312" w:eastAsia="仿宋_GB2312"/>
          <w:sz w:val="28"/>
          <w:szCs w:val="28"/>
        </w:rPr>
        <w:t>万元，占政府采购支出总额的</w:t>
      </w:r>
      <w:r>
        <w:rPr>
          <w:rFonts w:ascii="仿宋_GB2312" w:eastAsia="仿宋_GB2312"/>
          <w:sz w:val="28"/>
          <w:szCs w:val="28"/>
        </w:rPr>
        <w:t>81.78</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12月31日，西城园管委会（区科委）</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政府购买服务决算547.38</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黑体" w:eastAsia="黑体"/>
          <w:sz w:val="32"/>
          <w:szCs w:val="32"/>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tabs>
          <w:tab w:val="center" w:pos="6979"/>
        </w:tabs>
        <w:spacing w:line="380" w:lineRule="exact"/>
        <w:jc w:val="center"/>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p>
    <w:p>
      <w:pPr>
        <w:jc w:val="both"/>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p>
    <w:p>
      <w:pPr>
        <w:ind w:firstLine="640" w:firstLineChars="200"/>
        <w:jc w:val="center"/>
        <w:rPr>
          <w:rFonts w:hint="eastAsia" w:ascii="黑体" w:hAnsi="Times New Roman" w:eastAsia="黑体" w:cs="Times New Roman"/>
          <w:sz w:val="32"/>
          <w:szCs w:val="32"/>
        </w:rPr>
      </w:pPr>
      <w:r>
        <w:rPr>
          <w:rFonts w:hint="eastAsia" w:ascii="黑体" w:hAnsi="Times New Roman" w:eastAsia="黑体" w:cs="Times New Roman"/>
          <w:sz w:val="32"/>
          <w:szCs w:val="32"/>
        </w:rPr>
        <w:t>2024年部门整体绩效报告</w:t>
      </w:r>
    </w:p>
    <w:p>
      <w:pPr>
        <w:jc w:val="center"/>
        <w:rPr>
          <w:rFonts w:ascii="仿宋_GB2312"/>
          <w:szCs w:val="30"/>
        </w:rPr>
      </w:pPr>
    </w:p>
    <w:p>
      <w:pPr>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一、部门概况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楷体_GB2312" w:eastAsia="楷体_GB2312"/>
          <w:sz w:val="28"/>
          <w:szCs w:val="28"/>
        </w:rPr>
      </w:pPr>
      <w:r>
        <w:rPr>
          <w:rFonts w:hint="eastAsia" w:ascii="楷体_GB2312" w:eastAsia="楷体_GB2312"/>
          <w:sz w:val="28"/>
          <w:szCs w:val="28"/>
        </w:rPr>
        <w:t>（一）机构设置及职责工作任务情况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西城园管委会是区政府派出机构，区科委是区政府工作部门，西城园管委与区科委合署办公。主要职责是：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（1）宣传贯彻落实国家和北京市关于科技创新及中关村国家自主创新示范区的法律、法规、规章和政策，组织拟订相关政策措施并组织实施。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（2）负责编制本区科技、科普工作规划并组织实施。负责编制园区发展规划、空间规划和产业规划，拟订园区发展建设方案，并组织实施。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（3）牵头推进国家级金融科技示范区建设，拟订相关支持政策措施并组织实施。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（4）统筹推进本区科技创新体系建设、科技服务体系建设，推动科技成果转移转化。负责本区科技专项资金实施。负责科技项目管理和科技保密等工作。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（5）统筹推进本区科技服务业发展，牵头负责本区科技服务业企业服务工作。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（6）负责园区产业促进工作。落实园区产业布局定位，推动园区重点工程、特色产业基地建设,服务重大项目落地，推进园区产业结构优化升级。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（7）会同有关部门开展科技人才队伍建设，协调开展本区科技创新创业服务。统筹推进园区人才工作，加强高层次人才服务。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（8）牵头负责园区企业服务工作，优化园区发展环境，协调开展园区公共服务。负责本区科技领域和园区对外交流合作，统筹推进科技创新文化建设。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（10）完成区委、区政府交办的其他任务。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楷体_GB2312" w:eastAsia="楷体_GB2312"/>
          <w:sz w:val="28"/>
          <w:szCs w:val="28"/>
        </w:rPr>
        <w:t>（二）部门整体绩效目标设立情况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楷体_GB2312" w:hAnsi="楷体_GB2312" w:eastAsia="楷体_GB2312" w:cs="楷体_GB2312"/>
          <w:b w:val="0"/>
          <w:bCs w:val="0"/>
          <w:sz w:val="28"/>
          <w:szCs w:val="28"/>
          <w:lang w:eastAsia="zh-CN"/>
        </w:rPr>
        <w:t>一是绩效目标设定基本合理。</w:t>
      </w:r>
      <w:r>
        <w:rPr>
          <w:rFonts w:hint="eastAsia" w:ascii="仿宋_GB2312" w:hAnsi="仿宋_GB2312" w:eastAsia="仿宋_GB2312" w:cs="仿宋_GB2312"/>
          <w:b w:val="0"/>
          <w:bCs w:val="0"/>
          <w:sz w:val="28"/>
          <w:szCs w:val="28"/>
          <w:lang w:val="en-US" w:eastAsia="zh-CN"/>
        </w:rPr>
        <w:t>2024年</w:t>
      </w:r>
      <w:r>
        <w:rPr>
          <w:rFonts w:hint="eastAsia" w:ascii="仿宋_GB2312" w:hAnsi="仿宋_GB2312" w:eastAsia="仿宋_GB2312" w:cs="仿宋_GB2312"/>
          <w:b w:val="0"/>
          <w:bCs w:val="0"/>
          <w:sz w:val="28"/>
          <w:szCs w:val="28"/>
          <w:lang w:eastAsia="zh-CN"/>
        </w:rPr>
        <w:t>部门整体绩效目标的设立与西城园管委会（区科委）中长期规划及部门职能职责相适应，预期产出效益和效果符合正常的业绩水平。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宋体"/>
          <w:color w:val="000000"/>
          <w:kern w:val="0"/>
          <w:sz w:val="28"/>
          <w:szCs w:val="28"/>
        </w:rPr>
      </w:pPr>
      <w:r>
        <w:rPr>
          <w:rFonts w:hint="eastAsia" w:ascii="楷体_GB2312" w:hAnsi="楷体_GB2312" w:eastAsia="楷体_GB2312" w:cs="楷体_GB2312"/>
          <w:b w:val="0"/>
          <w:bCs w:val="0"/>
          <w:sz w:val="28"/>
          <w:szCs w:val="28"/>
          <w:lang w:eastAsia="zh-CN"/>
        </w:rPr>
        <w:t>二是项目产出和效益指标较明确。</w:t>
      </w:r>
      <w:r>
        <w:rPr>
          <w:rFonts w:hint="eastAsia" w:ascii="仿宋_GB2312" w:hAnsi="仿宋_GB2312" w:eastAsia="仿宋_GB2312" w:cs="仿宋_GB2312"/>
          <w:b w:val="0"/>
          <w:bCs w:val="0"/>
          <w:sz w:val="28"/>
          <w:szCs w:val="28"/>
          <w:lang w:eastAsia="zh-CN"/>
        </w:rPr>
        <w:t>项目设定的产出指标包含产出数量、质量、进度、成本等指标，效益指标包含经济效益、社会效益、可持续影响、服务对象满意度等指标，绩效指标设定完整。</w:t>
      </w:r>
    </w:p>
    <w:p>
      <w:pPr>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二、当年预算执行情况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全年</w:t>
      </w:r>
      <w:r>
        <w:rPr>
          <w:rFonts w:hint="eastAsia" w:ascii="仿宋_GB2312" w:hAnsi="宋体" w:eastAsia="仿宋_GB2312" w:cs="宋体"/>
          <w:color w:val="000000"/>
          <w:kern w:val="0"/>
          <w:sz w:val="28"/>
          <w:szCs w:val="28"/>
        </w:rPr>
        <w:t>预算数9650.44万元</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其中</w:t>
      </w:r>
      <w:r>
        <w:rPr>
          <w:rFonts w:ascii="仿宋_GB2312" w:hAnsi="宋体" w:eastAsia="仿宋_GB2312" w:cs="宋体"/>
          <w:color w:val="000000"/>
          <w:kern w:val="0"/>
          <w:sz w:val="28"/>
          <w:szCs w:val="28"/>
        </w:rPr>
        <w:t>，基本</w:t>
      </w:r>
      <w:r>
        <w:rPr>
          <w:rFonts w:hint="eastAsia" w:ascii="仿宋_GB2312" w:hAnsi="宋体" w:eastAsia="仿宋_GB2312" w:cs="宋体"/>
          <w:color w:val="000000"/>
          <w:kern w:val="0"/>
          <w:sz w:val="28"/>
          <w:szCs w:val="28"/>
        </w:rPr>
        <w:t>支出</w:t>
      </w:r>
      <w:r>
        <w:rPr>
          <w:rFonts w:ascii="仿宋_GB2312" w:hAnsi="宋体" w:eastAsia="仿宋_GB2312" w:cs="宋体"/>
          <w:color w:val="000000"/>
          <w:kern w:val="0"/>
          <w:sz w:val="28"/>
          <w:szCs w:val="28"/>
        </w:rPr>
        <w:t>预算数</w:t>
      </w:r>
      <w:r>
        <w:rPr>
          <w:rFonts w:hint="eastAsia" w:ascii="仿宋_GB2312" w:hAnsi="宋体" w:eastAsia="仿宋_GB2312" w:cs="宋体"/>
          <w:color w:val="000000"/>
          <w:kern w:val="0"/>
          <w:sz w:val="28"/>
          <w:szCs w:val="28"/>
        </w:rPr>
        <w:t>1267.51</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项目支出预算数8382.93</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资金总体</w:t>
      </w:r>
      <w:r>
        <w:rPr>
          <w:rFonts w:hint="eastAsia" w:ascii="仿宋_GB2312" w:hAnsi="宋体" w:eastAsia="仿宋_GB2312" w:cs="宋体"/>
          <w:color w:val="000000"/>
          <w:kern w:val="0"/>
          <w:sz w:val="28"/>
          <w:szCs w:val="28"/>
        </w:rPr>
        <w:t>支出9650.44</w:t>
      </w:r>
      <w:r>
        <w:rPr>
          <w:rFonts w:ascii="仿宋_GB2312" w:hAnsi="宋体" w:eastAsia="仿宋_GB2312" w:cs="宋体"/>
          <w:color w:val="000000"/>
          <w:kern w:val="0"/>
          <w:sz w:val="28"/>
          <w:szCs w:val="28"/>
        </w:rPr>
        <w:t>万元，其中，基本支出</w:t>
      </w:r>
      <w:r>
        <w:rPr>
          <w:rFonts w:hint="eastAsia" w:ascii="仿宋_GB2312" w:hAnsi="宋体" w:eastAsia="仿宋_GB2312" w:cs="宋体"/>
          <w:color w:val="000000"/>
          <w:kern w:val="0"/>
          <w:sz w:val="28"/>
          <w:szCs w:val="28"/>
        </w:rPr>
        <w:t>1267.51</w:t>
      </w:r>
      <w:r>
        <w:rPr>
          <w:rFonts w:ascii="仿宋_GB2312" w:hAnsi="宋体" w:eastAsia="仿宋_GB2312" w:cs="宋体"/>
          <w:color w:val="000000"/>
          <w:kern w:val="0"/>
          <w:sz w:val="28"/>
          <w:szCs w:val="28"/>
        </w:rPr>
        <w:t>万元，项目</w:t>
      </w:r>
      <w:r>
        <w:rPr>
          <w:rFonts w:hint="eastAsia" w:ascii="仿宋_GB2312" w:hAnsi="宋体" w:eastAsia="仿宋_GB2312" w:cs="宋体"/>
          <w:color w:val="000000"/>
          <w:kern w:val="0"/>
          <w:sz w:val="28"/>
          <w:szCs w:val="28"/>
        </w:rPr>
        <w:t>支出8382.93</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预算</w:t>
      </w:r>
      <w:r>
        <w:rPr>
          <w:rFonts w:ascii="仿宋_GB2312" w:hAnsi="宋体" w:eastAsia="仿宋_GB2312" w:cs="宋体"/>
          <w:color w:val="000000"/>
          <w:kern w:val="0"/>
          <w:sz w:val="28"/>
          <w:szCs w:val="28"/>
        </w:rPr>
        <w:t>执行率为</w:t>
      </w:r>
      <w:r>
        <w:rPr>
          <w:rFonts w:hint="eastAsia" w:ascii="仿宋_GB2312" w:hAnsi="宋体" w:eastAsia="仿宋_GB2312" w:cs="宋体"/>
          <w:color w:val="000000"/>
          <w:kern w:val="0"/>
          <w:sz w:val="28"/>
          <w:szCs w:val="28"/>
          <w:lang w:val="en-US" w:eastAsia="zh-CN"/>
        </w:rPr>
        <w:t>100%</w:t>
      </w:r>
      <w:r>
        <w:rPr>
          <w:rFonts w:hint="eastAsia" w:ascii="仿宋_GB2312" w:hAnsi="宋体" w:eastAsia="仿宋_GB2312" w:cs="宋体"/>
          <w:color w:val="000000"/>
          <w:kern w:val="0"/>
          <w:sz w:val="28"/>
          <w:szCs w:val="28"/>
        </w:rPr>
        <w:t>。</w:t>
      </w:r>
    </w:p>
    <w:p>
      <w:pPr>
        <w:ind w:firstLine="560" w:firstLineChars="200"/>
        <w:rPr>
          <w:rFonts w:hint="eastAsia" w:ascii="黑体" w:hAnsi="Times New Roman" w:eastAsia="黑体" w:cs="Times New Roman"/>
          <w:sz w:val="28"/>
          <w:szCs w:val="28"/>
        </w:rPr>
      </w:pPr>
      <w:bookmarkStart w:id="0" w:name="OLE_LINK1"/>
      <w:r>
        <w:rPr>
          <w:rFonts w:hint="eastAsia" w:ascii="黑体" w:hAnsi="Times New Roman" w:eastAsia="黑体" w:cs="Times New Roman"/>
          <w:sz w:val="28"/>
          <w:szCs w:val="28"/>
        </w:rPr>
        <w:t>三、整体绩效目标实现情况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（一）产出完成情况分析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1.产出数量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全年完成13家孵化加速平台及超过600家的入驻高新企业动态发展与综合服务情况跟踪、分析</w:t>
      </w:r>
      <w:r>
        <w:rPr>
          <w:rFonts w:hint="eastAsia" w:ascii="仿宋_GB2312" w:hAnsi="宋体" w:eastAsia="仿宋_GB2312" w:cs="宋体"/>
          <w:color w:val="000000"/>
          <w:kern w:val="0"/>
          <w:sz w:val="28"/>
          <w:szCs w:val="28"/>
          <w:lang w:eastAsia="zh-CN"/>
        </w:rPr>
        <w:t>，超额完成任务，科技项目立项数量17个，</w:t>
      </w:r>
      <w:r>
        <w:rPr>
          <w:rFonts w:hint="eastAsia" w:ascii="仿宋_GB2312" w:hAnsi="宋体" w:eastAsia="仿宋_GB2312" w:cs="宋体"/>
          <w:color w:val="000000"/>
          <w:kern w:val="0"/>
          <w:sz w:val="28"/>
          <w:szCs w:val="28"/>
        </w:rPr>
        <w:t>整体来看，产出数量完成情况良好，能够满足</w:t>
      </w:r>
      <w:r>
        <w:rPr>
          <w:rFonts w:hint="eastAsia" w:ascii="仿宋_GB2312" w:hAnsi="宋体" w:eastAsia="仿宋_GB2312" w:cs="宋体"/>
          <w:color w:val="000000"/>
          <w:kern w:val="0"/>
          <w:sz w:val="28"/>
          <w:szCs w:val="28"/>
          <w:lang w:eastAsia="zh-CN"/>
        </w:rPr>
        <w:t>项目</w:t>
      </w:r>
      <w:r>
        <w:rPr>
          <w:rFonts w:hint="eastAsia" w:ascii="仿宋_GB2312" w:hAnsi="宋体" w:eastAsia="仿宋_GB2312" w:cs="宋体"/>
          <w:color w:val="000000"/>
          <w:kern w:val="0"/>
          <w:sz w:val="28"/>
          <w:szCs w:val="28"/>
        </w:rPr>
        <w:t>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2.产出</w:t>
      </w:r>
      <w:r>
        <w:rPr>
          <w:rFonts w:ascii="仿宋_GB2312" w:hAnsi="宋体" w:eastAsia="仿宋_GB2312" w:cs="宋体"/>
          <w:color w:val="000000"/>
          <w:kern w:val="0"/>
          <w:sz w:val="28"/>
          <w:szCs w:val="28"/>
        </w:rPr>
        <w:t>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企业</w:t>
      </w:r>
      <w:r>
        <w:rPr>
          <w:rFonts w:hint="eastAsia" w:ascii="仿宋_GB2312" w:hAnsi="宋体" w:eastAsia="仿宋_GB2312" w:cs="宋体"/>
          <w:color w:val="000000"/>
          <w:kern w:val="0"/>
          <w:sz w:val="28"/>
          <w:szCs w:val="28"/>
        </w:rPr>
        <w:t>科技创新能力不断提升</w:t>
      </w:r>
      <w:r>
        <w:rPr>
          <w:rFonts w:hint="eastAsia" w:ascii="仿宋_GB2312" w:hAnsi="宋体" w:eastAsia="仿宋_GB2312" w:cs="宋体"/>
          <w:color w:val="000000"/>
          <w:kern w:val="0"/>
          <w:sz w:val="28"/>
          <w:szCs w:val="28"/>
          <w:lang w:eastAsia="zh-CN"/>
        </w:rPr>
        <w:t>，孵化加速基地和创新孵化平台服务水平与质量得到提升，促进了区域高新技术产业快速、高质量发展，</w:t>
      </w:r>
      <w:r>
        <w:rPr>
          <w:rFonts w:hint="eastAsia" w:ascii="仿宋_GB2312" w:hAnsi="宋体" w:eastAsia="仿宋_GB2312" w:cs="宋体"/>
          <w:color w:val="000000"/>
          <w:kern w:val="0"/>
          <w:sz w:val="28"/>
          <w:szCs w:val="28"/>
        </w:rPr>
        <w:t>产出质量整体保持较高水平，符合</w:t>
      </w:r>
      <w:r>
        <w:rPr>
          <w:rFonts w:hint="eastAsia" w:ascii="仿宋_GB2312" w:hAnsi="宋体" w:eastAsia="仿宋_GB2312" w:cs="宋体"/>
          <w:color w:val="000000"/>
          <w:kern w:val="0"/>
          <w:sz w:val="28"/>
          <w:szCs w:val="28"/>
          <w:lang w:eastAsia="zh-CN"/>
        </w:rPr>
        <w:t>目标</w:t>
      </w:r>
      <w:r>
        <w:rPr>
          <w:rFonts w:hint="eastAsia" w:ascii="仿宋_GB2312" w:hAnsi="宋体" w:eastAsia="仿宋_GB2312" w:cs="宋体"/>
          <w:color w:val="000000"/>
          <w:kern w:val="0"/>
          <w:sz w:val="28"/>
          <w:szCs w:val="28"/>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3.产出</w:t>
      </w:r>
      <w:r>
        <w:rPr>
          <w:rFonts w:ascii="仿宋_GB2312" w:hAnsi="宋体" w:eastAsia="仿宋_GB2312" w:cs="宋体"/>
          <w:color w:val="000000"/>
          <w:kern w:val="0"/>
          <w:sz w:val="28"/>
          <w:szCs w:val="28"/>
        </w:rPr>
        <w:t>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年度重点工作按计划节点稳步推进，“科创十条”政策兑现资金上半年完成资金拨付，HICOOL全球创业者峰会暨创业大赛等重大活动均按既定时间节点高质量完成。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产出</w:t>
      </w:r>
      <w:r>
        <w:rPr>
          <w:rFonts w:ascii="仿宋_GB2312" w:hAnsi="宋体" w:eastAsia="仿宋_GB2312" w:cs="宋体"/>
          <w:color w:val="000000"/>
          <w:kern w:val="0"/>
          <w:sz w:val="28"/>
          <w:szCs w:val="28"/>
        </w:rPr>
        <w:t>成本</w:t>
      </w:r>
      <w:r>
        <w:rPr>
          <w:rFonts w:hint="eastAsia" w:ascii="仿宋_GB2312" w:hAnsi="宋体" w:eastAsia="仿宋_GB2312" w:cs="宋体"/>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预算执行规范高效，财政资金使用效益显著提升。整体来看，各预算项目支出没有突破预算成本。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（二）效果</w:t>
      </w:r>
      <w:r>
        <w:rPr>
          <w:rFonts w:ascii="楷体_GB2312" w:eastAsia="楷体_GB2312"/>
          <w:sz w:val="28"/>
          <w:szCs w:val="28"/>
        </w:rPr>
        <w:t>实现情况分析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1.经济</w:t>
      </w:r>
      <w:r>
        <w:rPr>
          <w:rFonts w:ascii="仿宋_GB2312" w:hAnsi="宋体" w:eastAsia="仿宋_GB2312" w:cs="宋体"/>
          <w:color w:val="000000"/>
          <w:kern w:val="0"/>
          <w:sz w:val="28"/>
          <w:szCs w:val="28"/>
        </w:rPr>
        <w:t>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园区经济贡献持续增强，2024年前11个月实现总收入3635亿元，地均产出率在示范区排名第2</w:t>
      </w:r>
      <w:r>
        <w:rPr>
          <w:rFonts w:hint="eastAsia" w:ascii="仿宋_GB2312" w:hAnsi="宋体" w:eastAsia="仿宋_GB2312" w:cs="宋体"/>
          <w:color w:val="000000"/>
          <w:kern w:val="0"/>
          <w:sz w:val="28"/>
          <w:szCs w:val="28"/>
          <w:lang w:eastAsia="zh-CN"/>
        </w:rPr>
        <w:t>。累计引进53家重点企业，注册资本金超22亿元。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全年</w:t>
      </w:r>
      <w:r>
        <w:rPr>
          <w:rFonts w:hint="eastAsia" w:ascii="仿宋_GB2312" w:hAnsi="宋体" w:eastAsia="仿宋_GB2312" w:cs="宋体"/>
          <w:color w:val="000000"/>
          <w:kern w:val="0"/>
          <w:sz w:val="28"/>
          <w:szCs w:val="28"/>
        </w:rPr>
        <w:t>举办</w:t>
      </w:r>
      <w:r>
        <w:rPr>
          <w:rFonts w:hint="eastAsia" w:ascii="仿宋_GB2312" w:hAnsi="宋体" w:eastAsia="仿宋_GB2312" w:cs="宋体"/>
          <w:color w:val="000000"/>
          <w:kern w:val="0"/>
          <w:sz w:val="28"/>
          <w:szCs w:val="28"/>
          <w:lang w:eastAsia="zh-CN"/>
        </w:rPr>
        <w:t>重要</w:t>
      </w:r>
      <w:r>
        <w:rPr>
          <w:rFonts w:hint="eastAsia" w:ascii="仿宋_GB2312" w:hAnsi="宋体" w:eastAsia="仿宋_GB2312" w:cs="宋体"/>
          <w:color w:val="000000"/>
          <w:kern w:val="0"/>
          <w:sz w:val="28"/>
          <w:szCs w:val="28"/>
        </w:rPr>
        <w:t>活动，服务企业快速健康发展，展示</w:t>
      </w:r>
      <w:r>
        <w:rPr>
          <w:rFonts w:hint="eastAsia" w:ascii="仿宋_GB2312" w:hAnsi="宋体" w:eastAsia="仿宋_GB2312" w:cs="宋体"/>
          <w:color w:val="000000"/>
          <w:kern w:val="0"/>
          <w:sz w:val="28"/>
          <w:szCs w:val="28"/>
          <w:lang w:eastAsia="zh-CN"/>
        </w:rPr>
        <w:t>园区</w:t>
      </w:r>
      <w:r>
        <w:rPr>
          <w:rFonts w:hint="eastAsia" w:ascii="仿宋_GB2312" w:hAnsi="宋体" w:eastAsia="仿宋_GB2312" w:cs="宋体"/>
          <w:color w:val="000000"/>
          <w:kern w:val="0"/>
          <w:sz w:val="28"/>
          <w:szCs w:val="28"/>
        </w:rPr>
        <w:t>建设取得的成就和亮点</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提升</w:t>
      </w:r>
      <w:r>
        <w:rPr>
          <w:rFonts w:hint="eastAsia" w:ascii="仿宋_GB2312" w:hAnsi="宋体" w:eastAsia="仿宋_GB2312" w:cs="宋体"/>
          <w:color w:val="000000"/>
          <w:kern w:val="0"/>
          <w:sz w:val="28"/>
          <w:szCs w:val="28"/>
          <w:lang w:eastAsia="zh-CN"/>
        </w:rPr>
        <w:t>园区</w:t>
      </w:r>
      <w:r>
        <w:rPr>
          <w:rFonts w:hint="eastAsia" w:ascii="仿宋_GB2312" w:hAnsi="宋体" w:eastAsia="仿宋_GB2312" w:cs="宋体"/>
          <w:color w:val="000000"/>
          <w:kern w:val="0"/>
          <w:sz w:val="28"/>
          <w:szCs w:val="28"/>
        </w:rPr>
        <w:t>的品牌形象和社会影响力</w:t>
      </w:r>
      <w:r>
        <w:rPr>
          <w:rFonts w:hint="eastAsia" w:ascii="仿宋_GB2312" w:hAnsi="宋体" w:eastAsia="仿宋_GB2312" w:cs="宋体"/>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.服务对象</w:t>
      </w:r>
      <w:r>
        <w:rPr>
          <w:rFonts w:ascii="仿宋_GB2312" w:hAnsi="宋体" w:eastAsia="仿宋_GB2312" w:cs="宋体"/>
          <w:color w:val="000000"/>
          <w:kern w:val="0"/>
          <w:sz w:val="28"/>
          <w:szCs w:val="28"/>
        </w:rPr>
        <w:t>满意度</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项目</w:t>
      </w:r>
      <w:r>
        <w:rPr>
          <w:rFonts w:hint="eastAsia" w:ascii="仿宋_GB2312" w:hAnsi="宋体" w:eastAsia="仿宋_GB2312" w:cs="宋体"/>
          <w:color w:val="000000"/>
          <w:kern w:val="0"/>
          <w:sz w:val="28"/>
          <w:szCs w:val="28"/>
        </w:rPr>
        <w:t>总体满意度达</w:t>
      </w:r>
      <w:r>
        <w:rPr>
          <w:rFonts w:hint="eastAsia" w:ascii="仿宋_GB2312" w:hAnsi="宋体" w:eastAsia="仿宋_GB2312" w:cs="宋体"/>
          <w:color w:val="000000"/>
          <w:kern w:val="0"/>
          <w:sz w:val="28"/>
          <w:szCs w:val="28"/>
          <w:lang w:val="en-US" w:eastAsia="zh-CN"/>
        </w:rPr>
        <w:t>90</w:t>
      </w:r>
      <w:r>
        <w:rPr>
          <w:rFonts w:hint="eastAsia" w:ascii="仿宋_GB2312" w:hAnsi="宋体" w:eastAsia="仿宋_GB2312" w:cs="宋体"/>
          <w:color w:val="000000"/>
          <w:kern w:val="0"/>
          <w:sz w:val="28"/>
          <w:szCs w:val="28"/>
        </w:rPr>
        <w:t>%，服务</w:t>
      </w:r>
      <w:r>
        <w:rPr>
          <w:rFonts w:hint="eastAsia" w:ascii="仿宋_GB2312" w:hAnsi="宋体" w:eastAsia="仿宋_GB2312" w:cs="宋体"/>
          <w:color w:val="000000"/>
          <w:kern w:val="0"/>
          <w:sz w:val="28"/>
          <w:szCs w:val="28"/>
          <w:lang w:eastAsia="zh-CN"/>
        </w:rPr>
        <w:t>内容</w:t>
      </w:r>
      <w:r>
        <w:rPr>
          <w:rFonts w:hint="eastAsia" w:ascii="仿宋_GB2312" w:hAnsi="宋体" w:eastAsia="仿宋_GB2312" w:cs="宋体"/>
          <w:color w:val="000000"/>
          <w:kern w:val="0"/>
          <w:sz w:val="28"/>
          <w:szCs w:val="28"/>
        </w:rPr>
        <w:t>获</w:t>
      </w:r>
      <w:r>
        <w:rPr>
          <w:rFonts w:hint="eastAsia" w:ascii="仿宋_GB2312" w:hAnsi="宋体" w:eastAsia="仿宋_GB2312" w:cs="宋体"/>
          <w:color w:val="000000"/>
          <w:kern w:val="0"/>
          <w:sz w:val="28"/>
          <w:szCs w:val="28"/>
          <w:lang w:eastAsia="zh-CN"/>
        </w:rPr>
        <w:t>服务对象</w:t>
      </w:r>
      <w:r>
        <w:rPr>
          <w:rFonts w:hint="eastAsia" w:ascii="仿宋_GB2312" w:hAnsi="宋体" w:eastAsia="仿宋_GB2312" w:cs="宋体"/>
          <w:color w:val="000000"/>
          <w:kern w:val="0"/>
          <w:sz w:val="28"/>
          <w:szCs w:val="28"/>
        </w:rPr>
        <w:t>普遍好评</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服务的专业性、针对性持续提高。</w:t>
      </w:r>
    </w:p>
    <w:p>
      <w:pPr>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四、预算管理情况分析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（一）财务管理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1.财务</w:t>
      </w:r>
      <w:r>
        <w:rPr>
          <w:rFonts w:ascii="仿宋_GB2312" w:hAnsi="宋体" w:eastAsia="仿宋_GB2312" w:cs="宋体"/>
          <w:color w:val="000000"/>
          <w:kern w:val="0"/>
          <w:sz w:val="28"/>
          <w:szCs w:val="28"/>
        </w:rPr>
        <w:t>管理制度健全性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照《西城区项目支出预算管理办法》《西城园管委会财务管理制度》执行。根据《西城区项目支出预算管理办法》要求，区预算单位在本区预算执行中严格按照预算规定的支出用途申请、使用和核算预算资金。《西城园管委会财务管理制度》规定了内部支出审批程序、支出流程、支出相关要求等内容，资金管理制度健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2.资金使用合规性</w:t>
      </w:r>
      <w:r>
        <w:rPr>
          <w:rFonts w:ascii="仿宋_GB2312" w:hAnsi="宋体" w:eastAsia="仿宋_GB2312" w:cs="宋体"/>
          <w:color w:val="000000"/>
          <w:kern w:val="0"/>
          <w:sz w:val="28"/>
          <w:szCs w:val="28"/>
        </w:rPr>
        <w:t>和安全性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资金拨付流程合规，资金使用规范，符合《西城区项目支出预算管理办法》的规定，不存在挤占、挪用、截留及其他违法违规行为。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w:t>
      </w:r>
      <w:bookmarkStart w:id="1" w:name="OLE_LINK2"/>
      <w:r>
        <w:rPr>
          <w:rFonts w:hint="eastAsia" w:ascii="仿宋_GB2312" w:hAnsi="宋体" w:eastAsia="仿宋_GB2312" w:cs="宋体"/>
          <w:color w:val="000000"/>
          <w:kern w:val="0"/>
          <w:sz w:val="28"/>
          <w:szCs w:val="28"/>
        </w:rPr>
        <w:t>会计</w:t>
      </w:r>
      <w:r>
        <w:rPr>
          <w:rFonts w:ascii="仿宋_GB2312" w:hAnsi="宋体" w:eastAsia="仿宋_GB2312" w:cs="宋体"/>
          <w:color w:val="000000"/>
          <w:kern w:val="0"/>
          <w:sz w:val="28"/>
          <w:szCs w:val="28"/>
        </w:rPr>
        <w:t>基础信息完善性</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严格按照</w:t>
      </w:r>
      <w:r>
        <w:rPr>
          <w:rFonts w:hint="eastAsia" w:ascii="仿宋_GB2312" w:hAnsi="宋体" w:eastAsia="仿宋_GB2312" w:cs="宋体"/>
          <w:color w:val="000000"/>
          <w:kern w:val="0"/>
          <w:sz w:val="28"/>
          <w:szCs w:val="28"/>
        </w:rPr>
        <w:t>《中华人民共和国会计法》《预算法》《行政单位会计制度》等相关法律法规，结合我委实际制定</w:t>
      </w:r>
      <w:r>
        <w:rPr>
          <w:rFonts w:hint="eastAsia" w:ascii="仿宋_GB2312" w:hAnsi="宋体" w:eastAsia="仿宋_GB2312" w:cs="宋体"/>
          <w:color w:val="000000"/>
          <w:kern w:val="0"/>
          <w:sz w:val="28"/>
          <w:szCs w:val="28"/>
          <w:lang w:eastAsia="zh-CN"/>
        </w:rPr>
        <w:t>《财务管理制度》，严格执行制度，科学、合理编制预算，严格预算执行，完整、准确、及时编制决算，真实反映单位财务状况；统筹安排、节约使用资金，保障资金正常运转；定期编制财务报告，进行财务活动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一</w:t>
      </w:r>
      <w:r>
        <w:rPr>
          <w:rFonts w:hint="eastAsia" w:ascii="楷体_GB2312" w:eastAsia="楷体_GB2312"/>
          <w:sz w:val="28"/>
          <w:szCs w:val="28"/>
        </w:rPr>
        <w:t>）资产管理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制定《固定资产管理制度》，明确资产购置与领用、日常管理、清查、处置要求，规范资产管理。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二</w:t>
      </w:r>
      <w:r>
        <w:rPr>
          <w:rFonts w:hint="eastAsia" w:ascii="楷体_GB2312" w:eastAsia="楷体_GB2312"/>
          <w:sz w:val="28"/>
          <w:szCs w:val="28"/>
        </w:rPr>
        <w:t>）绩效</w:t>
      </w:r>
      <w:r>
        <w:rPr>
          <w:rFonts w:ascii="楷体_GB2312" w:eastAsia="楷体_GB2312"/>
          <w:sz w:val="28"/>
          <w:szCs w:val="28"/>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b w:val="0"/>
          <w:bCs w:val="0"/>
          <w:color w:val="000000"/>
          <w:kern w:val="0"/>
          <w:sz w:val="28"/>
          <w:szCs w:val="28"/>
          <w:lang w:val="en-US" w:eastAsia="zh-CN" w:bidi="ar-SA"/>
        </w:rPr>
      </w:pPr>
      <w:r>
        <w:rPr>
          <w:rFonts w:hint="eastAsia" w:ascii="仿宋_GB2312" w:hAnsi="宋体" w:eastAsia="仿宋_GB2312" w:cs="宋体"/>
          <w:b w:val="0"/>
          <w:bCs w:val="0"/>
          <w:color w:val="000000"/>
          <w:kern w:val="0"/>
          <w:sz w:val="28"/>
          <w:szCs w:val="28"/>
          <w:lang w:val="en-US" w:eastAsia="zh-CN" w:bidi="ar-SA"/>
        </w:rPr>
        <w:t>制定《绩效管理办法》，遵循目标管理、绩效导向、责任追究、公正公开原则，将绩效目标设定、绩效跟踪、绩效评价及结果应用纳入资金的预算编制、执行、监督全过程，提高财政资金预算的经济效益。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三</w:t>
      </w:r>
      <w:r>
        <w:rPr>
          <w:rFonts w:hint="eastAsia" w:ascii="楷体_GB2312" w:eastAsia="楷体_GB2312"/>
          <w:sz w:val="28"/>
          <w:szCs w:val="28"/>
        </w:rPr>
        <w:t>）结转结余率</w:t>
      </w:r>
    </w:p>
    <w:p>
      <w:pPr>
        <w:pStyle w:val="2"/>
        <w:rPr>
          <w:rFonts w:hint="eastAsia" w:ascii="仿宋_GB2312" w:hAnsi="宋体" w:eastAsia="仿宋_GB2312" w:cs="宋体"/>
          <w:b w:val="0"/>
          <w:bCs w:val="0"/>
          <w:color w:val="000000"/>
          <w:kern w:val="0"/>
          <w:sz w:val="28"/>
          <w:szCs w:val="28"/>
          <w:lang w:val="en-US" w:eastAsia="zh-CN" w:bidi="ar-SA"/>
        </w:rPr>
      </w:pPr>
      <w:r>
        <w:rPr>
          <w:rFonts w:hint="eastAsia" w:ascii="仿宋_GB2312" w:hAnsi="宋体" w:eastAsia="仿宋_GB2312" w:cs="宋体"/>
          <w:b w:val="0"/>
          <w:bCs w:val="0"/>
          <w:color w:val="000000"/>
          <w:kern w:val="0"/>
          <w:sz w:val="28"/>
          <w:szCs w:val="28"/>
          <w:lang w:val="en-US" w:eastAsia="zh-CN" w:bidi="ar-SA"/>
        </w:rPr>
        <w:t>无结转结余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四</w:t>
      </w:r>
      <w:r>
        <w:rPr>
          <w:rFonts w:hint="eastAsia" w:ascii="楷体_GB2312" w:eastAsia="楷体_GB2312"/>
          <w:sz w:val="28"/>
          <w:szCs w:val="28"/>
        </w:rPr>
        <w:t>）部门</w:t>
      </w:r>
      <w:r>
        <w:rPr>
          <w:rFonts w:ascii="楷体_GB2312" w:eastAsia="楷体_GB2312"/>
          <w:sz w:val="28"/>
          <w:szCs w:val="28"/>
        </w:rPr>
        <w:t>预决算差异率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预决算无差异</w:t>
      </w:r>
    </w:p>
    <w:p>
      <w:pPr>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rPr>
        <w:t>五、总体评价结论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ascii="楷体_GB2312" w:eastAsia="楷体_GB2312"/>
          <w:sz w:val="28"/>
          <w:szCs w:val="28"/>
        </w:rPr>
      </w:pPr>
      <w:r>
        <w:rPr>
          <w:rFonts w:hint="eastAsia" w:ascii="楷体_GB2312" w:eastAsia="楷体_GB2312"/>
          <w:sz w:val="28"/>
          <w:szCs w:val="28"/>
        </w:rPr>
        <w:t>（一）评价</w:t>
      </w:r>
      <w:r>
        <w:rPr>
          <w:rFonts w:ascii="楷体_GB2312" w:eastAsia="楷体_GB2312"/>
          <w:sz w:val="28"/>
          <w:szCs w:val="28"/>
        </w:rPr>
        <w:t>得分</w:t>
      </w:r>
      <w:r>
        <w:rPr>
          <w:rFonts w:hint="eastAsia" w:ascii="楷体_GB2312" w:eastAsia="楷体_GB2312"/>
          <w:sz w:val="28"/>
          <w:szCs w:val="28"/>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楷体_GB2312" w:eastAsia="楷体_GB2312"/>
          <w:sz w:val="28"/>
          <w:szCs w:val="28"/>
        </w:rPr>
      </w:pPr>
      <w:r>
        <w:rPr>
          <w:rFonts w:hint="eastAsia" w:ascii="仿宋_GB2312" w:hAnsi="宋体" w:eastAsia="仿宋_GB2312" w:cs="宋体"/>
          <w:b w:val="0"/>
          <w:bCs w:val="0"/>
          <w:color w:val="000000"/>
          <w:kern w:val="0"/>
          <w:sz w:val="28"/>
          <w:szCs w:val="28"/>
          <w:lang w:eastAsia="zh-CN"/>
        </w:rPr>
        <w:t>项目自评得分全部为</w:t>
      </w:r>
      <w:r>
        <w:rPr>
          <w:rFonts w:hint="eastAsia" w:ascii="仿宋_GB2312" w:hAnsi="宋体" w:eastAsia="仿宋_GB2312" w:cs="宋体"/>
          <w:b w:val="0"/>
          <w:bCs w:val="0"/>
          <w:color w:val="000000"/>
          <w:kern w:val="0"/>
          <w:sz w:val="28"/>
          <w:szCs w:val="28"/>
          <w:lang w:val="en-US" w:eastAsia="zh-CN"/>
        </w:rPr>
        <w:t>90分及以上。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楷体_GB2312" w:eastAsia="楷体_GB2312"/>
          <w:sz w:val="28"/>
          <w:szCs w:val="28"/>
        </w:rPr>
      </w:pPr>
      <w:r>
        <w:rPr>
          <w:rFonts w:hint="eastAsia" w:ascii="楷体_GB2312" w:eastAsia="楷体_GB2312"/>
          <w:sz w:val="28"/>
          <w:szCs w:val="28"/>
        </w:rPr>
        <w:t>（二）存在的问题及原因分析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科技专项支持资金项目，政策资金支持方向过于集中成熟领域，忽视了市场化新兴领域的培育，预算安排结构相对固化。</w:t>
      </w:r>
    </w:p>
    <w:p>
      <w:pPr>
        <w:ind w:firstLine="560" w:firstLineChars="200"/>
        <w:rPr>
          <w:rFonts w:hint="eastAsia" w:ascii="黑体" w:hAnsi="Times New Roman" w:eastAsia="黑体" w:cs="Times New Roman"/>
          <w:sz w:val="28"/>
          <w:szCs w:val="28"/>
        </w:rPr>
      </w:pPr>
      <w:r>
        <w:rPr>
          <w:rFonts w:hint="eastAsia" w:ascii="黑体" w:hAnsi="Times New Roman" w:eastAsia="黑体" w:cs="Times New Roman"/>
          <w:sz w:val="28"/>
          <w:szCs w:val="28"/>
          <w:lang w:eastAsia="zh-CN"/>
        </w:rPr>
        <w:t>六、</w:t>
      </w:r>
      <w:r>
        <w:rPr>
          <w:rFonts w:hint="eastAsia" w:ascii="黑体" w:hAnsi="Times New Roman" w:eastAsia="黑体" w:cs="Times New Roman"/>
          <w:sz w:val="28"/>
          <w:szCs w:val="28"/>
        </w:rPr>
        <w:t>措施建议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eastAsia="黑体"/>
          <w:sz w:val="28"/>
          <w:szCs w:val="28"/>
        </w:rPr>
      </w:pPr>
      <w:r>
        <w:rPr>
          <w:rFonts w:hint="eastAsia" w:ascii="仿宋_GB2312" w:hAnsi="宋体" w:eastAsia="仿宋_GB2312" w:cs="宋体"/>
          <w:color w:val="000000"/>
          <w:kern w:val="0"/>
          <w:sz w:val="28"/>
          <w:szCs w:val="28"/>
          <w:lang w:val="en-US" w:eastAsia="zh-CN"/>
        </w:rPr>
        <w:t>在2025年度科技专项项目征集、评审、立项、跟踪等全流程管理中关注前沿领域，注重项目早期成果转化，按照我区产业重点发展方向，与其他产业政策协同互补，发挥财政科技资金的引导激励作用，突出新型技术的研发和应用，加强市场化新兴领域的培育，兼顾财政资金的安全性与财政资金对新兴领域创新的支持，不断优化科技专项预算结构。</w:t>
      </w:r>
    </w:p>
    <w:p>
      <w:pPr>
        <w:pStyle w:val="2"/>
        <w:rPr>
          <w:rFonts w:hint="eastAsia"/>
          <w:lang w:eastAsia="zh-CN"/>
        </w:rPr>
      </w:pPr>
    </w:p>
    <w:p>
      <w:pPr>
        <w:pStyle w:val="2"/>
        <w:rPr>
          <w:rFonts w:hint="eastAsia"/>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eastAsia="zh-CN"/>
        </w:rPr>
        <w:t>二、</w:t>
      </w:r>
      <w:r>
        <w:rPr>
          <w:rFonts w:hint="eastAsia" w:ascii="黑体" w:eastAsia="黑体"/>
          <w:sz w:val="28"/>
          <w:szCs w:val="28"/>
        </w:rPr>
        <w:t>项目支出绩效评价报告</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rPr>
        <w:t>中关村西城园体制机制改革提升项目支出绩效评价报告</w:t>
      </w:r>
    </w:p>
    <w:p>
      <w:pPr>
        <w:jc w:val="center"/>
        <w:rPr>
          <w:rFonts w:ascii="仿宋_GB2312" w:hAnsi="Times New Roman" w:eastAsia="宋体" w:cs="Times New Roman"/>
          <w:szCs w:val="30"/>
        </w:rPr>
      </w:pP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一、基本情况</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（一）项目概况</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为深入贯彻落实党的二十大精神，加快打造国际领先科技园区，建设国际一流国家级金融科技示范区，西城园管委会（区科委）积极响应市委市政府的工作要求，持续深化中关村西城园体制机制改革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采用公开招投标的方式选择前端公司弥补存在的</w:t>
      </w:r>
      <w:r>
        <w:rPr>
          <w:rFonts w:hint="eastAsia" w:ascii="仿宋_GB2312" w:hAnsi="仿宋_GB2312" w:eastAsia="仿宋_GB2312" w:cs="仿宋_GB2312"/>
          <w:sz w:val="28"/>
          <w:szCs w:val="28"/>
          <w:lang w:eastAsia="zh-CN"/>
        </w:rPr>
        <w:t>不足</w:t>
      </w:r>
      <w:r>
        <w:rPr>
          <w:rFonts w:hint="eastAsia" w:ascii="仿宋_GB2312" w:hAnsi="仿宋_GB2312" w:eastAsia="仿宋_GB2312" w:cs="仿宋_GB2312"/>
          <w:sz w:val="28"/>
          <w:szCs w:val="28"/>
        </w:rPr>
        <w:t>。2024年4月，金融街服务中心有限公司中标中关村西城园体制机制改革提升项目后，围绕全区科技企业服务、招商引资和活动开展三大核心领域，设定并实施一系列具体工作目标。该项目实施内容包括</w:t>
      </w:r>
      <w:r>
        <w:rPr>
          <w:rFonts w:hint="eastAsia" w:ascii="仿宋_GB2312" w:hAnsi="仿宋_GB2312" w:eastAsia="仿宋_GB2312" w:cs="仿宋_GB2312"/>
          <w:sz w:val="28"/>
          <w:szCs w:val="28"/>
          <w:lang w:eastAsia="zh-CN"/>
        </w:rPr>
        <w:t>开展企业服务</w:t>
      </w:r>
      <w:r>
        <w:rPr>
          <w:rFonts w:hint="eastAsia" w:ascii="仿宋_GB2312" w:hAnsi="仿宋_GB2312" w:eastAsia="仿宋_GB2312" w:cs="仿宋_GB2312"/>
          <w:sz w:val="28"/>
          <w:szCs w:val="28"/>
        </w:rPr>
        <w:t>、提供“外脑”服务</w:t>
      </w:r>
      <w:r>
        <w:rPr>
          <w:rFonts w:hint="eastAsia" w:ascii="仿宋_GB2312" w:hAnsi="仿宋_GB2312" w:eastAsia="仿宋_GB2312" w:cs="仿宋_GB2312"/>
          <w:sz w:val="28"/>
          <w:szCs w:val="28"/>
          <w:lang w:eastAsia="zh-CN"/>
        </w:rPr>
        <w:t>等内容</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bookmarkStart w:id="2" w:name="OLE_LINK4"/>
      <w:r>
        <w:rPr>
          <w:rFonts w:hint="eastAsia" w:ascii="仿宋_GB2312" w:hAnsi="仿宋_GB2312" w:eastAsia="仿宋_GB2312" w:cs="仿宋_GB2312"/>
          <w:sz w:val="28"/>
          <w:szCs w:val="28"/>
        </w:rPr>
        <w:t>中关村西城园体制机制改革提升项目预算金额625.96万元，</w:t>
      </w:r>
      <w:bookmarkEnd w:id="2"/>
      <w:r>
        <w:rPr>
          <w:rFonts w:hint="eastAsia" w:ascii="仿宋_GB2312" w:hAnsi="仿宋_GB2312" w:eastAsia="仿宋_GB2312" w:cs="仿宋_GB2312"/>
          <w:sz w:val="28"/>
          <w:szCs w:val="28"/>
        </w:rPr>
        <w:t>2024年全年预算500万元，2024年共计支出项目金额500万元，预算执行率100%。</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（二）项目绩效目标。</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目标1：</w:t>
      </w:r>
      <w:r>
        <w:rPr>
          <w:rFonts w:hint="eastAsia" w:ascii="仿宋_GB2312" w:hAnsi="仿宋_GB2312" w:eastAsia="仿宋_GB2312" w:cs="仿宋_GB2312"/>
          <w:sz w:val="28"/>
          <w:szCs w:val="28"/>
          <w:lang w:eastAsia="zh-CN"/>
        </w:rPr>
        <w:t>推动</w:t>
      </w:r>
      <w:r>
        <w:rPr>
          <w:rFonts w:hint="eastAsia" w:ascii="仿宋_GB2312" w:hAnsi="仿宋_GB2312" w:eastAsia="仿宋_GB2312" w:cs="仿宋_GB2312"/>
          <w:sz w:val="28"/>
          <w:szCs w:val="28"/>
        </w:rPr>
        <w:t>市场化企业服务</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目标2：</w:t>
      </w:r>
      <w:r>
        <w:rPr>
          <w:rFonts w:hint="eastAsia" w:ascii="仿宋_GB2312" w:hAnsi="仿宋_GB2312" w:eastAsia="仿宋_GB2312" w:cs="仿宋_GB2312"/>
          <w:sz w:val="28"/>
          <w:szCs w:val="28"/>
          <w:lang w:eastAsia="zh-CN"/>
        </w:rPr>
        <w:t>推动</w:t>
      </w:r>
      <w:r>
        <w:rPr>
          <w:rFonts w:hint="eastAsia" w:ascii="仿宋_GB2312" w:hAnsi="仿宋_GB2312" w:eastAsia="仿宋_GB2312" w:cs="仿宋_GB2312"/>
          <w:sz w:val="28"/>
          <w:szCs w:val="28"/>
        </w:rPr>
        <w:t>市场化招商引资</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目标3：</w:t>
      </w:r>
      <w:r>
        <w:rPr>
          <w:rFonts w:hint="eastAsia" w:ascii="仿宋_GB2312" w:hAnsi="仿宋_GB2312" w:eastAsia="仿宋_GB2312" w:cs="仿宋_GB2312"/>
          <w:sz w:val="28"/>
          <w:szCs w:val="28"/>
          <w:lang w:eastAsia="zh-CN"/>
        </w:rPr>
        <w:t>推动</w:t>
      </w:r>
      <w:r>
        <w:rPr>
          <w:rFonts w:hint="eastAsia" w:ascii="仿宋_GB2312" w:hAnsi="仿宋_GB2312" w:eastAsia="仿宋_GB2312" w:cs="仿宋_GB2312"/>
          <w:sz w:val="28"/>
          <w:szCs w:val="28"/>
        </w:rPr>
        <w:t>产业促进。</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二、绩效评价工作开展情况</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（一）绩效评价目的、对象和范围。</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1.评价目的</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绩效自评价目的是为了全面分析和综合评价中关村西城园体制机制改革提升项目资金使用的效果，重点评价项目决策程序的规范性；绩效目标的有效性；预算执行和项目实施的规范性;资金使用的合规性、经济性和效率性；预算支出的效果性。为进一步规范内部管理、提高财政资金使用效益，强化预算支出的责任和效率提供参考依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2.评价对象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本次自评价对象为中关村西城园体制机制改革提升项目。</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（二）绩效评价原则、评价指标体系（附表说明）、评价方法、评价标准等。</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1.评价原则及方法</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本次自评价工作遵循“客观、公正、科学、规范”的原则，对反映项目决策、过程、产出和效益等内容的资料和数据进行分析，梳理项目问题并分析成因，根据自结果形成评价结论。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2.指标体系与评分标准</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关村西城园体制机制改革提升项目支出绩效评价工作以《北京市西城区项目支出绩效评价管理办法》为依据，以资金使用结果为导向，依据年初填报的项目绩效目标表为基础，结合该项目的实际执行情况进行评价。评价内容包括项目产出数量指标、质量指标、进度指标、成本指标的产出完成情况以及经济效益、社会效益、可持续影响指标的达成情况和服务对象满意度指标的情况。</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（三）绩效评价工作过程。</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为确保绩效自评价工作的客观公正，评价工作按照绩效评价工作程序组织实施绩效评价工作。评价工作根据项目实际情况，填报绩效自评表，完成绩效自评报告撰写。</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三、综合评价情况及评价结论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中关村西城园体制机制改革提升项目,经自评,该项目自评综合得分9</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分，绩效评价级别评定为“优”。（90分（含）以上为优）</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四、绩效评价指标分析</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（一）项目决策情况。</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党的二十大精神，按照北京市统一部署，实现加快打造国际领先科技园区，建设国际一流国家级金融科技示范区的目标，西城园管委会（区科委）亟需引进市场化、专业化平台公司，为园区建设发展提供专业支撑。《中关村西城园体制机制改革提升项目》</w:t>
      </w:r>
      <w:bookmarkStart w:id="3" w:name="_GoBack"/>
      <w:bookmarkEnd w:id="3"/>
      <w:r>
        <w:rPr>
          <w:rFonts w:hint="eastAsia" w:ascii="仿宋_GB2312" w:hAnsi="仿宋_GB2312" w:eastAsia="仿宋_GB2312" w:cs="仿宋_GB2312"/>
          <w:sz w:val="28"/>
          <w:szCs w:val="28"/>
        </w:rPr>
        <w:t>补充了市场化、专业化的服务手段，对于完善园区产业服务方式，扩大园区宣传影响力，具有深远的意义。</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为此，该项目立项依据充分。</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（二）项目过程情况。</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推进项目各项任务落实到位，科学合理安排三个事业部开展工作，确保项目在西城园管委会（区科委）自身工作职责之外的成效延展，成立“中关村西城园体制机制改革提升项目专项工作领导小组”，形成主要领导牵头，分管领导推动，业务科室执行落地的工作模式。</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在项目实施过程中，按照单位制定的“三重一大”和内控制度等规定进行管理，明确了项目立项、招标、过程监督管理、进度款支付管理及项目验收等事项，管理制度较健全。</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（三）项目产出情况。</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开展</w:t>
      </w:r>
      <w:r>
        <w:rPr>
          <w:rFonts w:hint="eastAsia" w:ascii="仿宋_GB2312" w:hAnsi="仿宋_GB2312" w:eastAsia="仿宋_GB2312" w:cs="仿宋_GB2312"/>
          <w:sz w:val="28"/>
          <w:szCs w:val="28"/>
          <w:lang w:eastAsia="zh-CN"/>
        </w:rPr>
        <w:t>市场化</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开展招商引资</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3.提供</w:t>
      </w:r>
      <w:r>
        <w:rPr>
          <w:rFonts w:hint="eastAsia" w:ascii="仿宋_GB2312" w:hAnsi="仿宋_GB2312" w:eastAsia="仿宋_GB2312" w:cs="仿宋_GB2312"/>
          <w:sz w:val="28"/>
          <w:szCs w:val="28"/>
        </w:rPr>
        <w:t>上市咨询服务</w:t>
      </w:r>
      <w:r>
        <w:rPr>
          <w:rFonts w:hint="eastAsia" w:ascii="仿宋_GB2312" w:hAnsi="仿宋_GB2312" w:eastAsia="仿宋_GB2312" w:cs="仿宋_GB2312"/>
          <w:sz w:val="28"/>
          <w:szCs w:val="28"/>
          <w:lang w:val="en-US" w:eastAsia="zh-CN"/>
        </w:rPr>
        <w:t>。</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搭建企业交流平台</w:t>
      </w:r>
      <w:r>
        <w:rPr>
          <w:rFonts w:hint="eastAsia" w:ascii="仿宋_GB2312" w:hAnsi="仿宋_GB2312" w:eastAsia="仿宋_GB2312" w:cs="仿宋_GB2312"/>
          <w:sz w:val="28"/>
          <w:szCs w:val="28"/>
          <w:lang w:val="en-US" w:eastAsia="zh-CN"/>
        </w:rPr>
        <w:t>。</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拓展招商渠道</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提供“外脑”服务</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7.构建</w:t>
      </w:r>
      <w:r>
        <w:rPr>
          <w:rFonts w:hint="eastAsia" w:ascii="仿宋_GB2312" w:hAnsi="仿宋_GB2312" w:eastAsia="仿宋_GB2312" w:cs="仿宋_GB2312"/>
          <w:sz w:val="28"/>
          <w:szCs w:val="28"/>
        </w:rPr>
        <w:t>宣传矩阵</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楷体_GB2312" w:hAnsi="仿宋_GB2312" w:eastAsia="楷体_GB2312" w:cs="仿宋_GB2312"/>
          <w:sz w:val="28"/>
          <w:szCs w:val="28"/>
        </w:rPr>
      </w:pPr>
      <w:r>
        <w:rPr>
          <w:rFonts w:hint="eastAsia" w:ascii="楷体_GB2312" w:hAnsi="仿宋_GB2312" w:eastAsia="楷体_GB2312" w:cs="仿宋_GB2312"/>
          <w:sz w:val="28"/>
          <w:szCs w:val="28"/>
        </w:rPr>
        <w:t>（四）项目效益情况。</w:t>
      </w:r>
    </w:p>
    <w:p>
      <w:pPr>
        <w:spacing w:line="520" w:lineRule="exact"/>
        <w:ind w:firstLine="560" w:firstLineChars="200"/>
        <w:rPr>
          <w:rFonts w:hint="eastAsia" w:ascii="仿宋_GB2312" w:hAnsi="仿宋" w:eastAsia="仿宋_GB2312" w:cs="仿宋_GB2312"/>
          <w:color w:val="000000"/>
          <w:sz w:val="28"/>
          <w:szCs w:val="28"/>
          <w:lang w:eastAsia="zh-CN"/>
        </w:rPr>
      </w:pPr>
      <w:r>
        <w:rPr>
          <w:rFonts w:hint="eastAsia" w:ascii="仿宋_GB2312" w:hAnsi="仿宋_GB2312" w:eastAsia="仿宋_GB2312" w:cs="仿宋_GB2312"/>
          <w:sz w:val="28"/>
          <w:szCs w:val="28"/>
        </w:rPr>
        <w:t>一是</w:t>
      </w:r>
      <w:r>
        <w:rPr>
          <w:rFonts w:hint="eastAsia" w:ascii="仿宋_GB2312" w:hAnsi="仿宋_GB2312" w:eastAsia="仿宋_GB2312" w:cs="仿宋_GB2312"/>
          <w:color w:val="000000"/>
          <w:sz w:val="28"/>
          <w:szCs w:val="28"/>
        </w:rPr>
        <w:t>完善基础数据体系，驱动产业图谱精准绘制</w:t>
      </w:r>
      <w:r>
        <w:rPr>
          <w:rFonts w:hint="eastAsia" w:ascii="仿宋_GB2312" w:hAnsi="仿宋_GB2312" w:eastAsia="仿宋_GB2312" w:cs="仿宋_GB2312"/>
          <w:color w:val="000000"/>
          <w:sz w:val="28"/>
          <w:szCs w:val="28"/>
          <w:lang w:eastAsia="zh-CN"/>
        </w:rPr>
        <w:t>；二是</w:t>
      </w:r>
      <w:r>
        <w:rPr>
          <w:rFonts w:hint="eastAsia" w:ascii="仿宋_GB2312" w:hAnsi="仿宋_GB2312" w:eastAsia="仿宋_GB2312" w:cs="仿宋_GB2312"/>
          <w:color w:val="000000"/>
          <w:sz w:val="28"/>
          <w:szCs w:val="28"/>
        </w:rPr>
        <w:t>建立“双管家”服务机制，实现产业生态全周期全链条覆盖</w:t>
      </w:r>
      <w:r>
        <w:rPr>
          <w:rFonts w:hint="eastAsia" w:ascii="仿宋_GB2312" w:hAnsi="仿宋_GB2312" w:eastAsia="仿宋_GB2312" w:cs="仿宋_GB2312"/>
          <w:color w:val="000000"/>
          <w:sz w:val="28"/>
          <w:szCs w:val="28"/>
          <w:lang w:eastAsia="zh-CN"/>
        </w:rPr>
        <w:t>；三是</w:t>
      </w:r>
      <w:r>
        <w:rPr>
          <w:rFonts w:hint="eastAsia" w:ascii="仿宋_GB2312" w:hAnsi="仿宋_GB2312" w:eastAsia="仿宋_GB2312" w:cs="仿宋_GB2312"/>
          <w:color w:val="000000"/>
          <w:sz w:val="28"/>
          <w:szCs w:val="28"/>
        </w:rPr>
        <w:t>强化多元举措促招商，推动高质量招商再上新台阶</w:t>
      </w:r>
      <w:r>
        <w:rPr>
          <w:rFonts w:hint="eastAsia" w:ascii="仿宋_GB2312" w:hAnsi="仿宋_GB2312" w:eastAsia="仿宋_GB2312" w:cs="仿宋_GB2312"/>
          <w:color w:val="000000"/>
          <w:sz w:val="28"/>
          <w:szCs w:val="28"/>
          <w:lang w:eastAsia="zh-CN"/>
        </w:rPr>
        <w:t>；四是</w:t>
      </w:r>
      <w:r>
        <w:rPr>
          <w:rFonts w:hint="eastAsia" w:ascii="仿宋_GB2312" w:hAnsi="仿宋_GB2312" w:eastAsia="仿宋_GB2312" w:cs="仿宋_GB2312"/>
          <w:sz w:val="28"/>
          <w:szCs w:val="28"/>
        </w:rPr>
        <w:t>构筑多元平台，赋能园区高质量发展与合作升级</w:t>
      </w:r>
      <w:r>
        <w:rPr>
          <w:rFonts w:hint="eastAsia" w:ascii="仿宋_GB2312" w:hAnsi="仿宋_GB2312" w:eastAsia="仿宋_GB2312" w:cs="仿宋_GB2312"/>
          <w:sz w:val="28"/>
          <w:szCs w:val="28"/>
          <w:lang w:eastAsia="zh-CN"/>
        </w:rPr>
        <w:t>。</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五、主要经验及做法、存在的问题及原因分析</w:t>
      </w:r>
    </w:p>
    <w:p>
      <w:pPr>
        <w:adjustRightInd w:val="0"/>
        <w:snapToGrid w:val="0"/>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一是项目借助专业的服务力量和创新的市场化服务，进一步提升园区服务水平，增强园区产业集聚态势，助推</w:t>
      </w:r>
      <w:r>
        <w:rPr>
          <w:rFonts w:hint="eastAsia" w:ascii="仿宋_GB2312" w:hAnsi="Times New Roman" w:eastAsia="仿宋_GB2312" w:cs="仿宋_GB2312"/>
          <w:sz w:val="28"/>
          <w:szCs w:val="28"/>
        </w:rPr>
        <w:t>加快打造国际领先科技园区，建设国际一流国家级金融科技示范区</w:t>
      </w:r>
      <w:r>
        <w:rPr>
          <w:rFonts w:hint="eastAsia" w:ascii="仿宋_GB2312" w:hAnsi="宋体" w:eastAsia="仿宋_GB2312"/>
          <w:sz w:val="28"/>
          <w:szCs w:val="28"/>
        </w:rPr>
        <w:t>。二是通过项目的实施，加速金融科技成果转化，提升金融科技服务社会的水平；推动产业结构优化升级，助力园区改革发展，提升园区企业支持实体经济的能力，提高金科新区的经济拉动力。三是通过市场化服务机制，持续提升西城园的专业化、市场化的服务能力，提升西城园的园区品牌影响力，推动园区高质量发展。</w:t>
      </w:r>
    </w:p>
    <w:p>
      <w:pPr>
        <w:adjustRightInd w:val="0"/>
        <w:snapToGrid w:val="0"/>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sz w:val="28"/>
          <w:szCs w:val="28"/>
        </w:rPr>
        <w:t>经过2024年的实践，发现存在以下问题：一是信息和数据流通不畅。</w:t>
      </w:r>
      <w:r>
        <w:rPr>
          <w:rFonts w:hint="eastAsia" w:ascii="仿宋_GB2312" w:hAnsi="仿宋_GB2312" w:eastAsia="仿宋_GB2312" w:cs="仿宋_GB2312"/>
          <w:sz w:val="28"/>
          <w:szCs w:val="28"/>
        </w:rPr>
        <w:t>二是工作协同性有待加强。</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六、有关建议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一是通过打造信息化数据库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二是加强沟通对接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三是扩大资源储备。</w:t>
      </w:r>
    </w:p>
    <w:p>
      <w:pPr>
        <w:spacing w:line="520" w:lineRule="exact"/>
        <w:ind w:firstLine="560" w:firstLineChars="200"/>
        <w:rPr>
          <w:rFonts w:hint="eastAsia" w:ascii="黑体" w:hAnsi="黑体" w:eastAsia="黑体" w:cs="仿宋_GB2312"/>
          <w:sz w:val="28"/>
          <w:szCs w:val="28"/>
        </w:rPr>
      </w:pPr>
      <w:r>
        <w:rPr>
          <w:rFonts w:hint="eastAsia" w:ascii="黑体" w:hAnsi="黑体" w:eastAsia="黑体" w:cs="仿宋_GB2312"/>
          <w:sz w:val="28"/>
          <w:szCs w:val="28"/>
        </w:rPr>
        <w:t>七、其他需要说明的问题</w:t>
      </w:r>
    </w:p>
    <w:p>
      <w:pPr>
        <w:spacing w:line="520" w:lineRule="exact"/>
        <w:rPr>
          <w:rFonts w:hint="eastAsia"/>
          <w:lang w:eastAsia="zh-CN"/>
        </w:rPr>
      </w:pPr>
      <w:r>
        <w:rPr>
          <w:rFonts w:hint="eastAsia" w:ascii="仿宋_GB2312" w:hAnsi="仿宋_GB2312" w:eastAsia="仿宋_GB2312" w:cs="仿宋_GB2312"/>
          <w:sz w:val="28"/>
          <w:szCs w:val="28"/>
        </w:rPr>
        <w:t xml:space="preserve">    该项目为跨年项目，项目合同期自2024年5月9日至2025年5月8日，2024年工作目标为项目合同期内工作总目标的80%。2025年1-4月将持续开展项目工作，继续完成项目内的各项目标。</w:t>
      </w: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eastAsia="zh-CN"/>
        </w:rPr>
        <w:t>三、</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spacing w:line="480" w:lineRule="exact"/>
      </w:pPr>
    </w:p>
    <w:sectPr>
      <w:footerReference r:id="rId4" w:type="default"/>
      <w:footerReference r:id="rId5" w:type="even"/>
      <w:pgSz w:w="16838" w:h="11906" w:orient="landscape"/>
      <w:pgMar w:top="1134" w:right="1134" w:bottom="1134" w:left="113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84F24CE"/>
    <w:rsid w:val="0BA148CA"/>
    <w:rsid w:val="0C1165C4"/>
    <w:rsid w:val="0D3C19AE"/>
    <w:rsid w:val="0D6D544B"/>
    <w:rsid w:val="0DD136FE"/>
    <w:rsid w:val="0F8E2C57"/>
    <w:rsid w:val="1059665E"/>
    <w:rsid w:val="10AC13BA"/>
    <w:rsid w:val="14351351"/>
    <w:rsid w:val="144231D1"/>
    <w:rsid w:val="145A6C1B"/>
    <w:rsid w:val="14B73493"/>
    <w:rsid w:val="167A2FF9"/>
    <w:rsid w:val="18581C69"/>
    <w:rsid w:val="1AEC0734"/>
    <w:rsid w:val="1DEF20B0"/>
    <w:rsid w:val="214243FA"/>
    <w:rsid w:val="21AD613C"/>
    <w:rsid w:val="22467189"/>
    <w:rsid w:val="257A14F5"/>
    <w:rsid w:val="27196C26"/>
    <w:rsid w:val="27B22717"/>
    <w:rsid w:val="29EF086F"/>
    <w:rsid w:val="2EFFE297"/>
    <w:rsid w:val="301437CA"/>
    <w:rsid w:val="349D1F0A"/>
    <w:rsid w:val="34DD0473"/>
    <w:rsid w:val="361A4A18"/>
    <w:rsid w:val="386A06B7"/>
    <w:rsid w:val="397900F5"/>
    <w:rsid w:val="3C684897"/>
    <w:rsid w:val="433E495C"/>
    <w:rsid w:val="489F2FD7"/>
    <w:rsid w:val="4A117046"/>
    <w:rsid w:val="4AC27CB3"/>
    <w:rsid w:val="4BF72BEF"/>
    <w:rsid w:val="4E9627D4"/>
    <w:rsid w:val="4FA90297"/>
    <w:rsid w:val="4FC41A43"/>
    <w:rsid w:val="51B43D99"/>
    <w:rsid w:val="51DB3C59"/>
    <w:rsid w:val="550C0952"/>
    <w:rsid w:val="55762E42"/>
    <w:rsid w:val="57A7B272"/>
    <w:rsid w:val="58470068"/>
    <w:rsid w:val="58747CAC"/>
    <w:rsid w:val="5A1720F9"/>
    <w:rsid w:val="5B9C37C2"/>
    <w:rsid w:val="5BA7C654"/>
    <w:rsid w:val="5EB71D9D"/>
    <w:rsid w:val="60A54109"/>
    <w:rsid w:val="61D01CDF"/>
    <w:rsid w:val="64C0607C"/>
    <w:rsid w:val="65756C86"/>
    <w:rsid w:val="674D385B"/>
    <w:rsid w:val="676F09E1"/>
    <w:rsid w:val="715C46A3"/>
    <w:rsid w:val="7357290B"/>
    <w:rsid w:val="740735EA"/>
    <w:rsid w:val="74261323"/>
    <w:rsid w:val="798524E4"/>
    <w:rsid w:val="7A7F1C49"/>
    <w:rsid w:val="7B5B7AE6"/>
    <w:rsid w:val="7B7B6628"/>
    <w:rsid w:val="7BA7071E"/>
    <w:rsid w:val="7BDF6DA8"/>
    <w:rsid w:val="7C7EDC1A"/>
    <w:rsid w:val="7CCED98D"/>
    <w:rsid w:val="7D08410F"/>
    <w:rsid w:val="7DB96DED"/>
    <w:rsid w:val="7DD3AD81"/>
    <w:rsid w:val="7EB1372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Plain Text"/>
    <w:basedOn w:val="1"/>
    <w:next w:val="1"/>
    <w:qFormat/>
    <w:uiPriority w:val="0"/>
    <w:rPr>
      <w:rFonts w:ascii="宋体" w:hAnsi="Courier New"/>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9650.44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1267.51</c:v>
                </c:pt>
                <c:pt idx="1">
                  <c:v>8382.93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3432</Words>
  <Characters>5758</Characters>
  <Lines>44</Lines>
  <Paragraphs>12</Paragraphs>
  <TotalTime>1</TotalTime>
  <ScaleCrop>false</ScaleCrop>
  <LinksUpToDate>false</LinksUpToDate>
  <CharactersWithSpaces>5779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Biran</cp:lastModifiedBy>
  <cp:lastPrinted>2020-08-07T11:39:00Z</cp:lastPrinted>
  <dcterms:modified xsi:type="dcterms:W3CDTF">2025-08-28T10:49:19Z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