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五</w:t>
      </w:r>
      <w:r>
        <w:rPr>
          <w:rFonts w:hint="eastAsia" w:ascii="仿宋_GB2312" w:hAnsi="仿宋" w:eastAsia="仿宋_GB2312" w:cs="宋体"/>
          <w:bCs/>
          <w:spacing w:val="40"/>
          <w:kern w:val="0"/>
          <w:sz w:val="32"/>
          <w:szCs w:val="32"/>
        </w:rPr>
        <w:t>、一般公共预算财政拨款支出决算表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六</w:t>
      </w:r>
      <w:r>
        <w:rPr>
          <w:rFonts w:hint="eastAsia" w:ascii="仿宋_GB2312" w:hAnsi="仿宋" w:eastAsia="仿宋_GB2312" w:cs="宋体"/>
          <w:bCs/>
          <w:spacing w:val="40"/>
          <w:kern w:val="0"/>
          <w:sz w:val="32"/>
          <w:szCs w:val="32"/>
        </w:rPr>
        <w:t>、一般公共预算财政拨款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一</w:t>
      </w:r>
      <w:r>
        <w:rPr>
          <w:rFonts w:hint="eastAsia" w:ascii="仿宋_GB2312" w:hAnsi="仿宋" w:eastAsia="仿宋_GB2312" w:cs="宋体"/>
          <w:bCs/>
          <w:spacing w:val="40"/>
          <w:kern w:val="0"/>
          <w:sz w:val="32"/>
          <w:szCs w:val="32"/>
        </w:rPr>
        <w:t>、政府采购情况表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keepNext w:val="0"/>
        <w:keepLines w:val="0"/>
        <w:pageBreakBefore w:val="0"/>
        <w:widowControl w:val="0"/>
        <w:tabs>
          <w:tab w:val="center" w:pos="6979"/>
        </w:tabs>
        <w:kinsoku/>
        <w:wordWrap/>
        <w:overflowPunct/>
        <w:topLinePunct w:val="0"/>
        <w:autoSpaceDE/>
        <w:autoSpaceDN/>
        <w:bidi w:val="0"/>
        <w:adjustRightInd/>
        <w:spacing w:line="560" w:lineRule="exact"/>
        <w:jc w:val="center"/>
        <w:textAlignment w:val="auto"/>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一、部门基本情况</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（一）机构职责</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区市场监管局主要职责为：</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（1）贯彻落实国家、北京市关于市场监督管理方面的法律、法规、规章，拟订有关规划并组织实施，规范和维护市场秩序，营造诚实守信、公平竞争的市场环境。</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负责本区市场主体登记注册。承担各类企业、从事经营活动的单位、个体工商户，以及上级单位授权登记的外商投资企业及其分支机构、委托登记的外国（地区）企业常驻代表机构等市场主体的登记注册工作。建立市场主体信息公示和共享机制，推动市场主体信用体系建设。</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（3）负责组织和指导本区市场监管综合执法工作。负责市场监管综合执法队伍建设，推动实行统一的市场监管。组织查处重大违法案件。规范市场监管行政执法行为。</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（4）统筹推进竞争政策实施，组织实施公平竞争审查制度。按规定权限承担反垄断执法工作。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负责监督管理本区市场秩序。依法监督管理市场交易、网络商品交易及有关服务的行为。组织查处价格收费违法违规、不正当竞争、违法直销、传销、制售假冒伪劣行为。开展合同、广告监督管理工作，组织查处无照生产经营和相关无证生产经营行为。指导消费维权工作。指导私营个体经济发展。</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（6）负责监督管理本区知识产权工作。贯彻国家知识产权法律法规和北京市相关规定，开展知识产权（商标、专利）保护和行政执法工作。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负责本区宏观质量管理。落实质量发展的制度措施。统筹质量基础设施建设与应用，组织、协同有关部门落实重大工程设备质量监理制度，按照权限组织重大质量事故调查，实施缺陷产品召回制度，监督管理产品防伪工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（8）负责本区产品质量安全监督管理。管理产品质量安全风险监控、分类监督工作。负责工业产品生产许可管理。负责纤维质量监督工作。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（9）负责本区特种设备安全监督管理。综合管理特种设备安全监察、监督工作，按规定权限组织开展特种设备事故的调查处理工作，依法查处违法行为。</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负责本区食品药品安全监督管理综合协调。组织制定食品安全重大政策并组织实施。负责食品安全应急体系建设，组织指导重大食品安全事件应急处置和调查处理工作。承担区食品药品安全委员会的具体工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负责本区食品安全监督工作。落实覆盖食品生产、流通、消费全过程的监督检查制度和隐患排查治理机制并组织实施，防范食品安全风险。推动食品生产经营者落实主体责任，健全食品安全追溯体系。组织开展食品安全监督抽检、风险监测、核查处置、召回和风险预警、风险交流工作。负责特殊食品监督管理。依法查处违法行为。落实食品安全信息统一公布制度。</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12）负责本区药品零售、医疗器械和化妆品经营企业的监督管理、医疗机构使用药品和医疗器械的质量监督管理以及特殊管理药品、医疗机构制剂的质量监督管理，依法查处违法行为。负责药品和化妆品不良反应、医疗器械不良事件监测。实施药品、医疗器械、化妆品的质量抽验。落实问题产品召回和处置制度。</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（13）负责管理本区计量工作。推行法定计量单位和国家计量制度，管理计量器具及量值传递和比对工作。规范、监督商品量和市场计量行为。</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（14）负责管理本区标准化工作。制定标准化工作规划、计划，对标准实施情况进行监督。负责商品条码的监督工作。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（15）负责管理本区检验检测工作。规范检验检测市场，完善检验检测体系，指导协调检验检测行业发展，依法对认证活动实施监督。</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（16）负责本区市场监督管理科技和信息化建设、新闻宣传、交流与合作。</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（17）按照“管行业必须管安全、管业务必须管安全、管生产经营必须管安全”的要求，承担相关安全生产工作职责。</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hAnsi="Times New Roman" w:cs="Times New Roman"/>
          <w:sz w:val="28"/>
          <w:szCs w:val="28"/>
          <w:highlight w:val="yellow"/>
          <w:lang w:eastAsia="zh-CN"/>
        </w:rPr>
      </w:pPr>
      <w:r>
        <w:rPr>
          <w:rFonts w:hint="eastAsia" w:ascii="仿宋_GB2312" w:hAnsi="Times New Roman" w:eastAsia="仿宋_GB2312" w:cs="Times New Roman"/>
          <w:sz w:val="28"/>
          <w:szCs w:val="28"/>
        </w:rPr>
        <w:t>（18）完成区委、区政府交办的其他任务。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eastAsia="仿宋_GB2312" w:cs="Times New Roman"/>
          <w:kern w:val="2"/>
          <w:sz w:val="28"/>
          <w:szCs w:val="28"/>
          <w:highlight w:val="none"/>
          <w:lang w:val="en-US" w:eastAsia="zh-CN" w:bidi="ar-SA"/>
        </w:rPr>
        <w:t>2.</w:t>
      </w:r>
      <w:r>
        <w:rPr>
          <w:rFonts w:hint="eastAsia" w:ascii="仿宋_GB2312" w:hAnsi="Times New Roman" w:eastAsia="仿宋_GB2312" w:cs="Times New Roman"/>
          <w:kern w:val="2"/>
          <w:sz w:val="28"/>
          <w:szCs w:val="28"/>
          <w:highlight w:val="none"/>
          <w:lang w:val="en-US" w:eastAsia="zh-CN" w:bidi="ar-SA"/>
        </w:rPr>
        <w:t>北京市西城区计量检测所：</w:t>
      </w:r>
      <w:r>
        <w:rPr>
          <w:rFonts w:hint="eastAsia" w:ascii="仿宋_GB2312" w:hAnsi="Times New Roman" w:eastAsia="仿宋_GB2312" w:cs="Times New Roman"/>
          <w:i w:val="0"/>
          <w:iCs w:val="0"/>
          <w:kern w:val="2"/>
          <w:sz w:val="28"/>
          <w:szCs w:val="28"/>
          <w:lang w:val="en-US" w:eastAsia="zh-CN" w:bidi="ar-SA"/>
        </w:rPr>
        <w:t>主要承担本区计量标准技术保障工作，进行量值传递。执行计量检定、校准和检测等任务，并提供相关技术服务。为实施计量监督提供技术保障。</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eastAsia="仿宋_GB2312" w:cs="Times New Roman"/>
          <w:kern w:val="2"/>
          <w:sz w:val="28"/>
          <w:szCs w:val="28"/>
          <w:highlight w:val="none"/>
          <w:lang w:val="en-US" w:eastAsia="zh-CN" w:bidi="ar-SA"/>
        </w:rPr>
        <w:t>3.</w:t>
      </w:r>
      <w:r>
        <w:rPr>
          <w:rFonts w:hint="eastAsia" w:ascii="仿宋_GB2312" w:hAnsi="Times New Roman" w:eastAsia="仿宋_GB2312" w:cs="Times New Roman"/>
          <w:sz w:val="28"/>
          <w:szCs w:val="28"/>
          <w:lang w:val="en-US" w:eastAsia="zh-CN"/>
        </w:rPr>
        <w:t>北京市西城区特种设备检测所：</w:t>
      </w:r>
      <w:r>
        <w:rPr>
          <w:rFonts w:hint="eastAsia" w:ascii="仿宋_GB2312" w:hAnsi="Times New Roman" w:eastAsia="仿宋_GB2312" w:cs="Times New Roman"/>
          <w:sz w:val="28"/>
          <w:szCs w:val="28"/>
        </w:rPr>
        <w:t>按照核准的检验项目，承担锅炉、压力容器、压力管道、电梯、起重机械和场（厂）内专用机动车辆等特种设备的安全性检验、技术咨询、技术鉴定和资质评估等工作。受委托承担特种设备事故防范和调查处理的辅助性工作。</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lang w:val="en-US" w:eastAsia="zh-CN"/>
        </w:rPr>
      </w:pPr>
      <w:r>
        <w:rPr>
          <w:rFonts w:hint="eastAsia" w:ascii="仿宋_GB2312" w:eastAsia="仿宋_GB2312" w:cs="Times New Roman"/>
          <w:kern w:val="2"/>
          <w:sz w:val="28"/>
          <w:szCs w:val="28"/>
          <w:highlight w:val="none"/>
          <w:lang w:val="en-US" w:eastAsia="zh-CN" w:bidi="ar-SA"/>
        </w:rPr>
        <w:t>4.</w:t>
      </w:r>
      <w:r>
        <w:rPr>
          <w:rFonts w:hint="eastAsia" w:ascii="仿宋_GB2312" w:hAnsi="Times New Roman" w:eastAsia="仿宋_GB2312" w:cs="Times New Roman"/>
          <w:kern w:val="2"/>
          <w:sz w:val="28"/>
          <w:szCs w:val="28"/>
          <w:highlight w:val="none"/>
          <w:lang w:val="en-US" w:eastAsia="zh-CN" w:bidi="ar-SA"/>
        </w:rPr>
        <w:t>北京市西城区食品药品安全监控中心：</w:t>
      </w:r>
      <w:r>
        <w:rPr>
          <w:rFonts w:hint="eastAsia" w:ascii="仿宋_GB2312" w:hAnsi="Times New Roman" w:eastAsia="仿宋_GB2312" w:cs="Times New Roman"/>
          <w:sz w:val="28"/>
          <w:szCs w:val="28"/>
          <w:highlight w:val="none"/>
        </w:rPr>
        <w:t>主要承担</w:t>
      </w:r>
      <w:r>
        <w:rPr>
          <w:rFonts w:hint="eastAsia" w:ascii="仿宋_GB2312" w:hAnsi="Times New Roman" w:eastAsia="仿宋_GB2312" w:cs="Times New Roman"/>
          <w:sz w:val="28"/>
          <w:szCs w:val="28"/>
        </w:rPr>
        <w:t>本行政区域食品药品检验工作</w:t>
      </w:r>
      <w:r>
        <w:rPr>
          <w:rFonts w:hint="eastAsia" w:ascii="仿宋_GB2312" w:eastAsia="仿宋_GB2312" w:cs="Times New Roman"/>
          <w:sz w:val="28"/>
          <w:szCs w:val="28"/>
          <w:lang w:eastAsia="zh-CN"/>
        </w:rPr>
        <w:t>。</w:t>
      </w:r>
      <w:r>
        <w:rPr>
          <w:rFonts w:hint="eastAsia" w:ascii="仿宋_GB2312" w:hAnsi="Times New Roman" w:eastAsia="仿宋_GB2312" w:cs="Times New Roman"/>
          <w:sz w:val="28"/>
          <w:szCs w:val="28"/>
        </w:rPr>
        <w:t>承担食品安全风险评估和风险监测工作</w:t>
      </w:r>
      <w:r>
        <w:rPr>
          <w:rFonts w:hint="eastAsia" w:ascii="仿宋_GB2312" w:eastAsia="仿宋_GB2312" w:cs="Times New Roman"/>
          <w:sz w:val="28"/>
          <w:szCs w:val="28"/>
          <w:lang w:eastAsia="zh-CN"/>
        </w:rPr>
        <w:t>。</w:t>
      </w:r>
      <w:r>
        <w:rPr>
          <w:rFonts w:hint="eastAsia" w:ascii="仿宋_GB2312" w:hAnsi="Times New Roman" w:eastAsia="仿宋_GB2312" w:cs="Times New Roman"/>
          <w:sz w:val="28"/>
          <w:szCs w:val="28"/>
        </w:rPr>
        <w:t>承担药品、医疗器械</w:t>
      </w:r>
      <w:r>
        <w:rPr>
          <w:rFonts w:hint="eastAsia" w:ascii="仿宋_GB2312" w:eastAsia="仿宋_GB2312" w:cs="Times New Roman"/>
          <w:sz w:val="28"/>
          <w:szCs w:val="28"/>
          <w:lang w:eastAsia="zh-CN"/>
        </w:rPr>
        <w:t>和</w:t>
      </w:r>
      <w:r>
        <w:rPr>
          <w:rFonts w:hint="eastAsia" w:ascii="仿宋_GB2312" w:hAnsi="Times New Roman" w:eastAsia="仿宋_GB2312" w:cs="Times New Roman"/>
          <w:sz w:val="28"/>
          <w:szCs w:val="28"/>
        </w:rPr>
        <w:t>化妆品不良反应监测工作</w:t>
      </w:r>
      <w:r>
        <w:rPr>
          <w:rFonts w:hint="eastAsia" w:ascii="仿宋_GB2312" w:eastAsia="仿宋_GB2312" w:cs="Times New Roman"/>
          <w:sz w:val="28"/>
          <w:szCs w:val="28"/>
          <w:lang w:eastAsia="zh-CN"/>
        </w:rPr>
        <w:t>等。</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（二）机构设置</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pPr>
      <w:r>
        <w:rPr>
          <w:rFonts w:hint="eastAsia" w:ascii="仿宋_GB2312" w:hAnsi="Times New Roman" w:eastAsia="仿宋_GB2312" w:cs="Times New Roman"/>
          <w:sz w:val="28"/>
          <w:szCs w:val="28"/>
        </w:rPr>
        <w:t>北京市西城区市场监督管理局（简称区市场监管局）是区政府工作部门，为正处级，</w:t>
      </w:r>
      <w:r>
        <w:rPr>
          <w:rFonts w:hint="eastAsia" w:ascii="仿宋_GB2312" w:eastAsia="仿宋_GB2312" w:cs="Times New Roman"/>
          <w:sz w:val="28"/>
          <w:szCs w:val="28"/>
          <w:lang w:eastAsia="zh-CN"/>
        </w:rPr>
        <w:t>加挂</w:t>
      </w:r>
      <w:r>
        <w:rPr>
          <w:rFonts w:hint="eastAsia" w:ascii="仿宋_GB2312" w:hAnsi="Times New Roman" w:eastAsia="仿宋_GB2312" w:cs="Times New Roman"/>
          <w:sz w:val="28"/>
          <w:szCs w:val="28"/>
        </w:rPr>
        <w:t>北京市西城区知识产权局牌子。</w:t>
      </w:r>
    </w:p>
    <w:p>
      <w:pPr>
        <w:keepNext w:val="0"/>
        <w:keepLines w:val="0"/>
        <w:pageBreakBefore w:val="0"/>
        <w:widowControl w:val="0"/>
        <w:tabs>
          <w:tab w:val="center" w:pos="6979"/>
        </w:tabs>
        <w:kinsoku/>
        <w:wordWrap/>
        <w:overflowPunct/>
        <w:topLinePunct w:val="0"/>
        <w:autoSpaceDE/>
        <w:autoSpaceDN/>
        <w:bidi w:val="0"/>
        <w:adjustRightInd/>
        <w:spacing w:line="560" w:lineRule="exact"/>
        <w:textAlignment w:val="auto"/>
        <w:rPr>
          <w:rFonts w:ascii="黑体" w:eastAsia="黑体"/>
          <w:b w:val="0"/>
          <w:bCs/>
          <w:sz w:val="28"/>
          <w:szCs w:val="28"/>
        </w:rPr>
      </w:pP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30369.59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640.13</w:t>
      </w:r>
      <w:r>
        <w:rPr>
          <w:rFonts w:hint="eastAsia" w:ascii="仿宋_GB2312" w:eastAsia="仿宋_GB2312"/>
          <w:sz w:val="28"/>
          <w:szCs w:val="28"/>
        </w:rPr>
        <w:t>万元，下降</w:t>
      </w:r>
      <w:r>
        <w:rPr>
          <w:rFonts w:hint="eastAsia" w:ascii="仿宋_GB2312" w:eastAsia="仿宋_GB2312"/>
          <w:sz w:val="28"/>
          <w:szCs w:val="28"/>
          <w:lang w:val="en-US" w:eastAsia="zh-CN"/>
        </w:rPr>
        <w:t>2.06</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（一）收入决算说明</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7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29488.64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221.52</w:t>
      </w:r>
      <w:r>
        <w:rPr>
          <w:rFonts w:hint="eastAsia" w:ascii="仿宋_GB2312" w:eastAsia="仿宋_GB2312"/>
          <w:sz w:val="28"/>
          <w:szCs w:val="28"/>
        </w:rPr>
        <w:t>万元，下降</w:t>
      </w:r>
      <w:r>
        <w:rPr>
          <w:rFonts w:hint="eastAsia" w:ascii="仿宋_GB2312" w:eastAsia="仿宋_GB2312"/>
          <w:sz w:val="28"/>
          <w:szCs w:val="28"/>
          <w:lang w:val="en-US" w:eastAsia="zh-CN"/>
        </w:rPr>
        <w:t>0.75</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pPr>
      <w:r>
        <w:rPr>
          <w:rFonts w:hint="eastAsia" w:ascii="仿宋_GB2312" w:eastAsia="仿宋_GB2312"/>
          <w:sz w:val="28"/>
          <w:szCs w:val="28"/>
        </w:rPr>
        <w:t>1.财政拨款收入</w:t>
      </w:r>
      <w:r>
        <w:rPr>
          <w:rFonts w:ascii="仿宋_GB2312" w:eastAsia="仿宋_GB2312"/>
          <w:sz w:val="28"/>
          <w:szCs w:val="28"/>
        </w:rPr>
        <w:t>29488.64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29488.64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jc w:val="center"/>
        <w:rPr>
          <w:rFonts w:hint="eastAsia"/>
        </w:rPr>
      </w:pPr>
      <w:r>
        <w:rPr>
          <w:rFonts w:hint="eastAsia" w:ascii="仿宋_GB2312" w:eastAsia="仿宋_GB2312"/>
          <w:color w:val="000000"/>
          <w:sz w:val="32"/>
        </w:rPr>
        <w:t>图1：收入决算</w:t>
      </w:r>
    </w:p>
    <w:p>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（二）支出决算说明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29488.64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223.88</w:t>
      </w:r>
      <w:r>
        <w:rPr>
          <w:rFonts w:hint="eastAsia" w:ascii="仿宋_GB2312" w:eastAsia="仿宋_GB2312"/>
          <w:sz w:val="28"/>
          <w:szCs w:val="28"/>
        </w:rPr>
        <w:t>万元，下降</w:t>
      </w:r>
      <w:r>
        <w:rPr>
          <w:rFonts w:hint="eastAsia" w:ascii="仿宋_GB2312" w:eastAsia="仿宋_GB2312"/>
          <w:sz w:val="28"/>
          <w:szCs w:val="28"/>
          <w:lang w:val="en-US" w:eastAsia="zh-CN"/>
        </w:rPr>
        <w:t>0.75</w:t>
      </w:r>
      <w:r>
        <w:rPr>
          <w:rFonts w:hint="eastAsia" w:ascii="仿宋_GB2312" w:eastAsia="仿宋_GB2312"/>
          <w:sz w:val="28"/>
          <w:szCs w:val="28"/>
        </w:rPr>
        <w:t>%，其中：基本支出</w:t>
      </w:r>
      <w:r>
        <w:rPr>
          <w:rFonts w:ascii="仿宋_GB2312" w:eastAsia="仿宋_GB2312"/>
          <w:sz w:val="28"/>
          <w:szCs w:val="28"/>
        </w:rPr>
        <w:t>25576.26</w:t>
      </w:r>
      <w:r>
        <w:rPr>
          <w:rFonts w:hint="eastAsia" w:ascii="仿宋_GB2312" w:eastAsia="仿宋_GB2312"/>
          <w:sz w:val="28"/>
          <w:szCs w:val="28"/>
        </w:rPr>
        <w:t>万元，占支出合计的</w:t>
      </w:r>
      <w:r>
        <w:rPr>
          <w:rFonts w:hint="eastAsia" w:ascii="仿宋_GB2312" w:eastAsia="仿宋_GB2312"/>
          <w:sz w:val="28"/>
          <w:szCs w:val="28"/>
          <w:lang w:eastAsia="zh-CN"/>
        </w:rPr>
        <w:t>86.73</w:t>
      </w:r>
      <w:r>
        <w:rPr>
          <w:rFonts w:hint="eastAsia" w:ascii="仿宋_GB2312" w:eastAsia="仿宋_GB2312"/>
          <w:sz w:val="28"/>
          <w:szCs w:val="28"/>
        </w:rPr>
        <w:t>%；项目支出</w:t>
      </w:r>
      <w:r>
        <w:rPr>
          <w:rFonts w:ascii="仿宋_GB2312" w:eastAsia="仿宋_GB2312"/>
          <w:sz w:val="28"/>
          <w:szCs w:val="28"/>
        </w:rPr>
        <w:t>3912.38</w:t>
      </w:r>
      <w:r>
        <w:rPr>
          <w:rFonts w:hint="eastAsia" w:ascii="仿宋_GB2312" w:eastAsia="仿宋_GB2312"/>
          <w:sz w:val="28"/>
          <w:szCs w:val="28"/>
        </w:rPr>
        <w:t>万元，占支出合计的</w:t>
      </w:r>
      <w:r>
        <w:rPr>
          <w:rFonts w:hint="eastAsia" w:ascii="仿宋_GB2312" w:eastAsia="仿宋_GB2312"/>
          <w:sz w:val="28"/>
          <w:szCs w:val="28"/>
          <w:lang w:eastAsia="zh-CN"/>
        </w:rPr>
        <w:t>13.27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29491.76</w:t>
      </w:r>
      <w:r>
        <w:rPr>
          <w:rFonts w:hint="eastAsia" w:ascii="仿宋_GB2312" w:eastAsia="仿宋_GB2312"/>
          <w:sz w:val="28"/>
          <w:szCs w:val="28"/>
        </w:rPr>
        <w:t>万元，比上年减少</w:t>
      </w:r>
      <w:r>
        <w:rPr>
          <w:rFonts w:hint="eastAsia" w:ascii="仿宋_GB2312" w:eastAsia="仿宋_GB2312"/>
          <w:sz w:val="28"/>
          <w:szCs w:val="28"/>
          <w:lang w:val="en-US" w:eastAsia="zh-CN"/>
        </w:rPr>
        <w:t>220.85</w:t>
      </w:r>
      <w:r>
        <w:rPr>
          <w:rFonts w:hint="eastAsia" w:ascii="仿宋_GB2312" w:eastAsia="仿宋_GB2312"/>
          <w:sz w:val="28"/>
          <w:szCs w:val="28"/>
        </w:rPr>
        <w:t>万元，下降</w:t>
      </w:r>
      <w:r>
        <w:rPr>
          <w:rFonts w:hint="eastAsia" w:ascii="仿宋_GB2312" w:eastAsia="仿宋_GB2312"/>
          <w:sz w:val="28"/>
          <w:szCs w:val="28"/>
          <w:lang w:val="en-US" w:eastAsia="zh-CN"/>
        </w:rPr>
        <w:t>0.74%</w:t>
      </w:r>
      <w:r>
        <w:rPr>
          <w:rFonts w:hint="eastAsia" w:ascii="仿宋_GB2312" w:eastAsia="仿宋_GB2312"/>
          <w:sz w:val="28"/>
          <w:szCs w:val="28"/>
        </w:rPr>
        <w:t>。主要原因：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29488.64</w:t>
      </w:r>
      <w:r>
        <w:rPr>
          <w:rFonts w:hint="eastAsia" w:ascii="仿宋_GB2312" w:eastAsia="仿宋_GB2312"/>
          <w:sz w:val="28"/>
          <w:szCs w:val="28"/>
        </w:rPr>
        <w:t>万元，主要用于以下方面（按大类）：一般公共服务支出20147</w:t>
      </w:r>
      <w:r>
        <w:rPr>
          <w:rFonts w:hint="eastAsia" w:ascii="仿宋_GB2312" w:eastAsia="仿宋_GB2312"/>
          <w:sz w:val="28"/>
          <w:szCs w:val="28"/>
          <w:lang w:val="en-US" w:eastAsia="zh-CN"/>
        </w:rPr>
        <w:t>.</w:t>
      </w:r>
      <w:r>
        <w:rPr>
          <w:rFonts w:hint="eastAsia" w:ascii="仿宋_GB2312" w:eastAsia="仿宋_GB2312"/>
          <w:sz w:val="28"/>
          <w:szCs w:val="28"/>
        </w:rPr>
        <w:t>8</w:t>
      </w:r>
      <w:r>
        <w:rPr>
          <w:rFonts w:hint="eastAsia" w:ascii="仿宋_GB2312" w:eastAsia="仿宋_GB2312"/>
          <w:sz w:val="28"/>
          <w:szCs w:val="28"/>
          <w:lang w:val="en-US" w:eastAsia="zh-CN"/>
        </w:rPr>
        <w:t>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68.32</w:t>
      </w:r>
      <w:r>
        <w:rPr>
          <w:rFonts w:hint="eastAsia" w:ascii="仿宋_GB2312" w:eastAsia="仿宋_GB2312"/>
          <w:sz w:val="28"/>
          <w:szCs w:val="28"/>
        </w:rPr>
        <w:t>%；</w:t>
      </w:r>
      <w:r>
        <w:rPr>
          <w:rFonts w:hint="eastAsia" w:ascii="仿宋_GB2312" w:eastAsia="仿宋_GB2312"/>
          <w:sz w:val="28"/>
          <w:szCs w:val="28"/>
          <w:lang w:eastAsia="zh-CN"/>
        </w:rPr>
        <w:t>教育支出7</w:t>
      </w:r>
      <w:r>
        <w:rPr>
          <w:rFonts w:hint="eastAsia" w:ascii="仿宋_GB2312" w:eastAsia="仿宋_GB2312"/>
          <w:sz w:val="28"/>
          <w:szCs w:val="28"/>
          <w:lang w:val="en-US" w:eastAsia="zh-CN"/>
        </w:rPr>
        <w:t>.</w:t>
      </w:r>
      <w:r>
        <w:rPr>
          <w:rFonts w:hint="eastAsia" w:ascii="仿宋_GB2312" w:eastAsia="仿宋_GB2312"/>
          <w:sz w:val="28"/>
          <w:szCs w:val="28"/>
          <w:lang w:eastAsia="zh-CN"/>
        </w:rPr>
        <w:t>7</w:t>
      </w:r>
      <w:r>
        <w:rPr>
          <w:rFonts w:hint="eastAsia" w:ascii="仿宋_GB2312" w:eastAsia="仿宋_GB2312"/>
          <w:sz w:val="28"/>
          <w:szCs w:val="28"/>
          <w:lang w:val="en-US" w:eastAsia="zh-CN"/>
        </w:rPr>
        <w:t>9</w:t>
      </w:r>
      <w:r>
        <w:rPr>
          <w:rFonts w:hint="eastAsia" w:ascii="仿宋_GB2312" w:eastAsia="仿宋_GB2312"/>
          <w:sz w:val="28"/>
          <w:szCs w:val="28"/>
          <w:lang w:eastAsia="zh-CN"/>
        </w:rPr>
        <w:t>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0.03</w:t>
      </w:r>
      <w:r>
        <w:rPr>
          <w:rFonts w:hint="eastAsia" w:ascii="仿宋_GB2312" w:eastAsia="仿宋_GB2312"/>
          <w:sz w:val="28"/>
          <w:szCs w:val="28"/>
        </w:rPr>
        <w:t>%</w:t>
      </w:r>
      <w:r>
        <w:rPr>
          <w:rFonts w:hint="eastAsia" w:ascii="仿宋_GB2312" w:eastAsia="仿宋_GB2312"/>
          <w:sz w:val="28"/>
          <w:szCs w:val="28"/>
          <w:lang w:eastAsia="zh-CN"/>
        </w:rPr>
        <w:t>；社会保障和就业支出3625</w:t>
      </w:r>
      <w:r>
        <w:rPr>
          <w:rFonts w:hint="eastAsia" w:ascii="仿宋_GB2312" w:eastAsia="仿宋_GB2312"/>
          <w:sz w:val="28"/>
          <w:szCs w:val="28"/>
          <w:lang w:val="en-US" w:eastAsia="zh-CN"/>
        </w:rPr>
        <w:t>.</w:t>
      </w:r>
      <w:r>
        <w:rPr>
          <w:rFonts w:hint="eastAsia" w:ascii="仿宋_GB2312" w:eastAsia="仿宋_GB2312"/>
          <w:sz w:val="28"/>
          <w:szCs w:val="28"/>
          <w:lang w:eastAsia="zh-CN"/>
        </w:rPr>
        <w:t>93万元，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12.29</w:t>
      </w:r>
      <w:r>
        <w:rPr>
          <w:rFonts w:hint="eastAsia" w:ascii="仿宋_GB2312" w:eastAsia="仿宋_GB2312"/>
          <w:sz w:val="28"/>
          <w:szCs w:val="28"/>
        </w:rPr>
        <w:t>%</w:t>
      </w:r>
      <w:r>
        <w:rPr>
          <w:rFonts w:hint="eastAsia" w:ascii="仿宋_GB2312" w:eastAsia="仿宋_GB2312"/>
          <w:sz w:val="28"/>
          <w:szCs w:val="28"/>
          <w:lang w:eastAsia="zh-CN"/>
        </w:rPr>
        <w:t>；卫生健康支出2027</w:t>
      </w:r>
      <w:r>
        <w:rPr>
          <w:rFonts w:hint="eastAsia" w:ascii="仿宋_GB2312" w:eastAsia="仿宋_GB2312"/>
          <w:sz w:val="28"/>
          <w:szCs w:val="28"/>
          <w:lang w:val="en-US" w:eastAsia="zh-CN"/>
        </w:rPr>
        <w:t>.</w:t>
      </w:r>
      <w:r>
        <w:rPr>
          <w:rFonts w:hint="eastAsia" w:ascii="仿宋_GB2312" w:eastAsia="仿宋_GB2312"/>
          <w:sz w:val="28"/>
          <w:szCs w:val="28"/>
          <w:lang w:eastAsia="zh-CN"/>
        </w:rPr>
        <w:t>5</w:t>
      </w:r>
      <w:r>
        <w:rPr>
          <w:rFonts w:hint="eastAsia" w:ascii="仿宋_GB2312" w:eastAsia="仿宋_GB2312"/>
          <w:sz w:val="28"/>
          <w:szCs w:val="28"/>
          <w:lang w:val="en-US" w:eastAsia="zh-CN"/>
        </w:rPr>
        <w:t>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6.88</w:t>
      </w:r>
      <w:r>
        <w:rPr>
          <w:rFonts w:hint="eastAsia" w:ascii="仿宋_GB2312" w:eastAsia="仿宋_GB2312"/>
          <w:sz w:val="28"/>
          <w:szCs w:val="28"/>
        </w:rPr>
        <w:t>%</w:t>
      </w:r>
      <w:r>
        <w:rPr>
          <w:rFonts w:hint="eastAsia" w:ascii="仿宋_GB2312" w:eastAsia="仿宋_GB2312"/>
          <w:sz w:val="28"/>
          <w:szCs w:val="28"/>
          <w:lang w:eastAsia="zh-CN"/>
        </w:rPr>
        <w:t>；住房保障支出3679</w:t>
      </w:r>
      <w:r>
        <w:rPr>
          <w:rFonts w:hint="eastAsia" w:ascii="仿宋_GB2312" w:eastAsia="仿宋_GB2312"/>
          <w:sz w:val="28"/>
          <w:szCs w:val="28"/>
          <w:lang w:val="en-US" w:eastAsia="zh-CN"/>
        </w:rPr>
        <w:t>.</w:t>
      </w:r>
      <w:r>
        <w:rPr>
          <w:rFonts w:hint="eastAsia" w:ascii="仿宋_GB2312" w:eastAsia="仿宋_GB2312"/>
          <w:sz w:val="28"/>
          <w:szCs w:val="28"/>
          <w:lang w:eastAsia="zh-CN"/>
        </w:rPr>
        <w:t>5</w:t>
      </w:r>
      <w:r>
        <w:rPr>
          <w:rFonts w:hint="eastAsia" w:ascii="仿宋_GB2312" w:eastAsia="仿宋_GB2312"/>
          <w:sz w:val="28"/>
          <w:szCs w:val="28"/>
          <w:lang w:val="en-US" w:eastAsia="zh-CN"/>
        </w:rPr>
        <w:t>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12.48</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“一般公共服务支出”（类）</w:t>
      </w:r>
      <w:r>
        <w:rPr>
          <w:rFonts w:hint="eastAsia" w:ascii="仿宋_GB2312" w:eastAsia="仿宋_GB2312"/>
          <w:sz w:val="28"/>
          <w:szCs w:val="28"/>
          <w:highlight w:val="none"/>
          <w:lang w:val="en-US" w:eastAsia="zh-CN"/>
        </w:rPr>
        <w:t>2024年度年初预算数22310.7万元，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年度决算20147</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8</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90.31%</w:t>
      </w:r>
      <w:r>
        <w:rPr>
          <w:rFonts w:hint="eastAsia" w:ascii="仿宋_GB2312" w:eastAsia="仿宋_GB2312"/>
          <w:sz w:val="28"/>
          <w:szCs w:val="28"/>
          <w:highlight w:val="none"/>
        </w:rPr>
        <w:t>。</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default" w:ascii="仿宋_GB2312" w:hAnsi="Times New Roman" w:eastAsia="仿宋_GB2312" w:cs="Times New Roman"/>
          <w:i w:val="0"/>
          <w:iCs w:val="0"/>
          <w:kern w:val="2"/>
          <w:sz w:val="28"/>
          <w:szCs w:val="28"/>
          <w:highlight w:val="none"/>
          <w:lang w:val="en-US" w:eastAsia="zh-CN" w:bidi="ar-SA"/>
        </w:rPr>
      </w:pPr>
      <w:r>
        <w:rPr>
          <w:rFonts w:hint="eastAsia" w:ascii="仿宋_GB2312" w:eastAsia="仿宋_GB2312" w:cs="Times New Roman"/>
          <w:i w:val="0"/>
          <w:iCs w:val="0"/>
          <w:kern w:val="2"/>
          <w:sz w:val="28"/>
          <w:szCs w:val="28"/>
          <w:highlight w:val="none"/>
          <w:lang w:val="en-US" w:eastAsia="zh-CN" w:bidi="ar-SA"/>
        </w:rPr>
        <w:t>其中：</w:t>
      </w:r>
      <w:r>
        <w:rPr>
          <w:rFonts w:hint="eastAsia" w:ascii="仿宋_GB2312" w:hAnsi="Times New Roman" w:eastAsia="仿宋_GB2312" w:cs="Times New Roman"/>
          <w:i w:val="0"/>
          <w:iCs w:val="0"/>
          <w:kern w:val="2"/>
          <w:sz w:val="28"/>
          <w:szCs w:val="28"/>
          <w:highlight w:val="none"/>
          <w:lang w:val="en-US" w:eastAsia="zh-CN" w:bidi="ar-SA"/>
        </w:rPr>
        <w:t>“市场监督管理事务”（款）2024年度年初预算数22310.7万元，2024年度决算20147.83万元，完成年初预算的90.31%</w:t>
      </w:r>
      <w:r>
        <w:rPr>
          <w:rFonts w:hint="eastAsia" w:ascii="仿宋_GB2312" w:eastAsia="仿宋_GB2312" w:cs="Times New Roman"/>
          <w:i w:val="0"/>
          <w:iCs w:val="0"/>
          <w:kern w:val="2"/>
          <w:sz w:val="28"/>
          <w:szCs w:val="28"/>
          <w:highlight w:val="none"/>
          <w:lang w:val="en-US" w:eastAsia="zh-CN" w:bidi="ar-SA"/>
        </w:rPr>
        <w:t>。主要原因为：</w:t>
      </w:r>
      <w:r>
        <w:rPr>
          <w:rFonts w:hint="eastAsia" w:ascii="仿宋_GB2312" w:eastAsia="仿宋_GB2312"/>
          <w:sz w:val="28"/>
          <w:szCs w:val="28"/>
          <w:lang w:eastAsia="zh-CN"/>
        </w:rPr>
        <w:t>落实过紧日子</w:t>
      </w:r>
      <w:r>
        <w:rPr>
          <w:rFonts w:hint="eastAsia" w:ascii="仿宋_GB2312" w:eastAsia="仿宋_GB2312"/>
          <w:sz w:val="28"/>
          <w:szCs w:val="28"/>
          <w:lang w:val="en-US" w:eastAsia="zh-CN"/>
        </w:rPr>
        <w:t>要求</w:t>
      </w:r>
      <w:r>
        <w:rPr>
          <w:rFonts w:hint="eastAsia" w:ascii="仿宋_GB2312" w:eastAsia="仿宋_GB2312"/>
          <w:sz w:val="28"/>
          <w:szCs w:val="28"/>
          <w:lang w:eastAsia="zh-CN"/>
        </w:rPr>
        <w:t>，压缩经费，节约财政资金</w:t>
      </w:r>
      <w:r>
        <w:rPr>
          <w:rFonts w:hint="eastAsia" w:ascii="仿宋_GB2312" w:eastAsia="仿宋_GB2312"/>
          <w:sz w:val="28"/>
          <w:szCs w:val="28"/>
        </w:rPr>
        <w:t>。</w:t>
      </w:r>
    </w:p>
    <w:p>
      <w:pPr>
        <w:keepNext w:val="0"/>
        <w:keepLines w:val="0"/>
        <w:pageBreakBefore w:val="0"/>
        <w:widowControl w:val="0"/>
        <w:numPr>
          <w:ilvl w:val="-1"/>
          <w:numId w:val="0"/>
        </w:numPr>
        <w:kinsoku/>
        <w:wordWrap/>
        <w:overflowPunct/>
        <w:topLinePunct w:val="0"/>
        <w:bidi w:val="0"/>
        <w:snapToGri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教育支出</w:t>
      </w:r>
      <w:r>
        <w:rPr>
          <w:rFonts w:hint="eastAsia" w:ascii="仿宋_GB2312" w:eastAsia="仿宋_GB2312"/>
          <w:sz w:val="28"/>
          <w:szCs w:val="28"/>
          <w:highlight w:val="none"/>
        </w:rPr>
        <w:t>”(类)</w:t>
      </w:r>
      <w:r>
        <w:rPr>
          <w:rFonts w:hint="eastAsia" w:ascii="仿宋_GB2312" w:eastAsia="仿宋_GB2312"/>
          <w:sz w:val="28"/>
          <w:szCs w:val="28"/>
          <w:highlight w:val="none"/>
          <w:lang w:val="en-US" w:eastAsia="zh-CN"/>
        </w:rPr>
        <w:t>2024年度年初预算数72.21万元，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eastAsia="zh-CN"/>
        </w:rPr>
        <w:t>7</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lang w:eastAsia="zh-CN"/>
        </w:rPr>
        <w:t>7</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10.79%</w:t>
      </w:r>
      <w:r>
        <w:rPr>
          <w:rFonts w:hint="eastAsia" w:ascii="仿宋_GB2312" w:eastAsia="仿宋_GB2312"/>
          <w:sz w:val="28"/>
          <w:szCs w:val="28"/>
          <w:highlight w:val="none"/>
        </w:rPr>
        <w:t>。</w:t>
      </w:r>
    </w:p>
    <w:p>
      <w:pPr>
        <w:keepNext w:val="0"/>
        <w:keepLines w:val="0"/>
        <w:pageBreakBefore w:val="0"/>
        <w:widowControl w:val="0"/>
        <w:numPr>
          <w:ilvl w:val="-1"/>
          <w:numId w:val="0"/>
        </w:numPr>
        <w:kinsoku/>
        <w:wordWrap/>
        <w:overflowPunct/>
        <w:topLinePunct w:val="0"/>
        <w:bidi w:val="0"/>
        <w:snapToGrid/>
        <w:spacing w:line="560" w:lineRule="exact"/>
        <w:ind w:firstLine="560" w:firstLineChars="200"/>
        <w:textAlignment w:val="auto"/>
        <w:rPr>
          <w:rFonts w:hint="eastAsia" w:ascii="仿宋_GB2312" w:eastAsia="仿宋_GB2312" w:cs="Times New Roman"/>
          <w:i w:val="0"/>
          <w:iCs w:val="0"/>
          <w:kern w:val="2"/>
          <w:sz w:val="28"/>
          <w:szCs w:val="28"/>
          <w:highlight w:val="none"/>
          <w:lang w:val="en-US" w:eastAsia="zh-CN" w:bidi="ar-SA"/>
        </w:rPr>
      </w:pPr>
      <w:r>
        <w:rPr>
          <w:rFonts w:hint="eastAsia" w:ascii="仿宋_GB2312" w:eastAsia="仿宋_GB2312"/>
          <w:sz w:val="28"/>
          <w:szCs w:val="28"/>
          <w:lang w:val="en-US" w:eastAsia="zh-CN"/>
        </w:rPr>
        <w:t>其中：“进修及培训”（款）</w:t>
      </w:r>
      <w:r>
        <w:rPr>
          <w:rFonts w:hint="eastAsia" w:ascii="仿宋_GB2312" w:eastAsia="仿宋_GB2312"/>
          <w:sz w:val="28"/>
          <w:szCs w:val="28"/>
          <w:highlight w:val="none"/>
          <w:lang w:val="en-US" w:eastAsia="zh-CN"/>
        </w:rPr>
        <w:t>2024年度年初预算数72.21万元，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eastAsia="zh-CN"/>
        </w:rPr>
        <w:t>7</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lang w:eastAsia="zh-CN"/>
        </w:rPr>
        <w:t>7</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10.79%</w:t>
      </w:r>
      <w:r>
        <w:rPr>
          <w:rFonts w:hint="eastAsia" w:ascii="仿宋_GB2312" w:eastAsia="仿宋_GB2312"/>
          <w:sz w:val="28"/>
          <w:szCs w:val="28"/>
          <w:highlight w:val="none"/>
        </w:rPr>
        <w:t>。</w:t>
      </w:r>
      <w:r>
        <w:rPr>
          <w:rFonts w:hint="eastAsia" w:ascii="仿宋_GB2312" w:eastAsia="仿宋_GB2312" w:cs="Times New Roman"/>
          <w:i w:val="0"/>
          <w:iCs w:val="0"/>
          <w:kern w:val="2"/>
          <w:sz w:val="28"/>
          <w:szCs w:val="28"/>
          <w:highlight w:val="none"/>
          <w:lang w:val="en-US" w:eastAsia="zh-CN" w:bidi="ar-SA"/>
        </w:rPr>
        <w:t>主要原因为：</w:t>
      </w:r>
      <w:r>
        <w:rPr>
          <w:rFonts w:hint="eastAsia" w:ascii="仿宋_GB2312" w:eastAsia="仿宋_GB2312"/>
          <w:sz w:val="28"/>
          <w:szCs w:val="28"/>
          <w:lang w:eastAsia="zh-CN"/>
        </w:rPr>
        <w:t>落实过紧日子要求，利用线上培训载体和局内培训，开展教育培训，节约财政资金</w:t>
      </w:r>
      <w:r>
        <w:rPr>
          <w:rFonts w:hint="eastAsia" w:ascii="仿宋_GB2312" w:eastAsia="仿宋_GB2312"/>
          <w:sz w:val="28"/>
          <w:szCs w:val="28"/>
        </w:rPr>
        <w:t>。</w:t>
      </w:r>
    </w:p>
    <w:p>
      <w:pPr>
        <w:keepNext w:val="0"/>
        <w:keepLines w:val="0"/>
        <w:pageBreakBefore w:val="0"/>
        <w:widowControl w:val="0"/>
        <w:numPr>
          <w:ilvl w:val="-1"/>
          <w:numId w:val="0"/>
        </w:numPr>
        <w:kinsoku/>
        <w:wordWrap/>
        <w:overflowPunct/>
        <w:topLinePunct w:val="0"/>
        <w:bidi w:val="0"/>
        <w:snapToGrid/>
        <w:spacing w:line="560" w:lineRule="exact"/>
        <w:ind w:leftChars="0" w:firstLine="0" w:firstLineChars="0"/>
        <w:textAlignment w:val="auto"/>
        <w:rPr>
          <w:rFonts w:hint="eastAsia" w:ascii="仿宋_GB2312" w:eastAsia="仿宋_GB2312" w:cs="Times New Roman"/>
          <w:i w:val="0"/>
          <w:iCs w:val="0"/>
          <w:kern w:val="2"/>
          <w:sz w:val="28"/>
          <w:szCs w:val="28"/>
          <w:lang w:val="en-US" w:eastAsia="zh-CN" w:bidi="ar-SA"/>
        </w:rPr>
      </w:pPr>
      <w:r>
        <w:rPr>
          <w:rFonts w:hint="eastAsia" w:ascii="仿宋_GB2312" w:eastAsia="仿宋_GB2312" w:cs="Times New Roman"/>
          <w:i w:val="0"/>
          <w:iCs w:val="0"/>
          <w:kern w:val="2"/>
          <w:sz w:val="28"/>
          <w:szCs w:val="28"/>
          <w:highlight w:val="none"/>
          <w:lang w:val="en-US" w:eastAsia="zh-CN" w:bidi="ar-SA"/>
        </w:rPr>
        <w:t xml:space="preserve">    3.</w:t>
      </w:r>
      <w:r>
        <w:rPr>
          <w:rFonts w:hint="eastAsia" w:ascii="仿宋_GB2312" w:hAnsi="Times New Roman" w:eastAsia="仿宋_GB2312" w:cs="Times New Roman"/>
          <w:i w:val="0"/>
          <w:iCs w:val="0"/>
          <w:kern w:val="2"/>
          <w:sz w:val="28"/>
          <w:szCs w:val="28"/>
          <w:highlight w:val="none"/>
          <w:lang w:val="en-US" w:eastAsia="zh-CN" w:bidi="ar-SA"/>
        </w:rPr>
        <w:t>“</w:t>
      </w:r>
      <w:r>
        <w:rPr>
          <w:rFonts w:hint="eastAsia" w:ascii="仿宋_GB2312" w:eastAsia="仿宋_GB2312"/>
          <w:sz w:val="28"/>
          <w:szCs w:val="28"/>
          <w:highlight w:val="none"/>
          <w:lang w:eastAsia="zh-CN"/>
        </w:rPr>
        <w:t>社会保障和就业支出</w:t>
      </w:r>
      <w:r>
        <w:rPr>
          <w:rFonts w:hint="eastAsia" w:ascii="仿宋_GB2312" w:eastAsia="仿宋_GB2312"/>
          <w:sz w:val="28"/>
          <w:szCs w:val="28"/>
          <w:highlight w:val="none"/>
        </w:rPr>
        <w:t>”(类)</w:t>
      </w:r>
      <w:r>
        <w:rPr>
          <w:rFonts w:hint="eastAsia" w:ascii="仿宋_GB2312" w:eastAsia="仿宋_GB2312"/>
          <w:sz w:val="28"/>
          <w:szCs w:val="28"/>
          <w:highlight w:val="none"/>
          <w:lang w:val="en-US" w:eastAsia="zh-CN"/>
        </w:rPr>
        <w:t>2024年度年初预算数3726.72万元，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3625.93</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97.3%</w:t>
      </w:r>
      <w:r>
        <w:rPr>
          <w:rFonts w:hint="eastAsia" w:ascii="仿宋_GB2312" w:eastAsia="仿宋_GB2312"/>
          <w:sz w:val="28"/>
          <w:szCs w:val="28"/>
          <w:highlight w:val="none"/>
        </w:rPr>
        <w:t>。</w:t>
      </w:r>
    </w:p>
    <w:p>
      <w:pPr>
        <w:keepNext w:val="0"/>
        <w:keepLines w:val="0"/>
        <w:pageBreakBefore w:val="0"/>
        <w:widowControl w:val="0"/>
        <w:numPr>
          <w:ilvl w:val="-1"/>
          <w:numId w:val="0"/>
        </w:numPr>
        <w:kinsoku/>
        <w:wordWrap/>
        <w:overflowPunct/>
        <w:topLinePunct w:val="0"/>
        <w:bidi w:val="0"/>
        <w:snapToGrid/>
        <w:spacing w:line="560" w:lineRule="exact"/>
        <w:ind w:leftChars="0" w:firstLine="560" w:firstLineChars="200"/>
        <w:textAlignment w:val="auto"/>
        <w:rPr>
          <w:rFonts w:hint="eastAsia" w:ascii="仿宋_GB2312" w:eastAsia="仿宋_GB2312"/>
          <w:sz w:val="28"/>
          <w:szCs w:val="28"/>
          <w:highlight w:val="none"/>
        </w:rPr>
      </w:pPr>
      <w:r>
        <w:rPr>
          <w:rFonts w:hint="eastAsia" w:ascii="仿宋_GB2312" w:eastAsia="仿宋_GB2312" w:cs="Times New Roman"/>
          <w:i w:val="0"/>
          <w:iCs w:val="0"/>
          <w:kern w:val="2"/>
          <w:sz w:val="28"/>
          <w:szCs w:val="28"/>
          <w:lang w:val="en-US" w:eastAsia="zh-CN" w:bidi="ar-SA"/>
        </w:rPr>
        <w:t>其中：“</w:t>
      </w:r>
      <w:r>
        <w:rPr>
          <w:rFonts w:hint="eastAsia" w:ascii="仿宋_GB2312" w:hAnsi="Times New Roman" w:eastAsia="仿宋_GB2312" w:cs="Times New Roman"/>
          <w:i w:val="0"/>
          <w:iCs w:val="0"/>
          <w:kern w:val="2"/>
          <w:sz w:val="28"/>
          <w:szCs w:val="28"/>
          <w:lang w:val="en-US" w:eastAsia="zh-CN" w:bidi="ar-SA"/>
        </w:rPr>
        <w:t>行政事业单位养老支出”（款）</w:t>
      </w:r>
      <w:r>
        <w:rPr>
          <w:rFonts w:hint="eastAsia" w:ascii="仿宋_GB2312" w:eastAsia="仿宋_GB2312"/>
          <w:sz w:val="28"/>
          <w:szCs w:val="28"/>
          <w:highlight w:val="none"/>
          <w:lang w:val="en-US" w:eastAsia="zh-CN"/>
        </w:rPr>
        <w:t>2024年度年初预算数3726.72万元，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3487.72</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93.59%</w:t>
      </w:r>
      <w:r>
        <w:rPr>
          <w:rFonts w:hint="eastAsia" w:ascii="仿宋_GB2312" w:eastAsia="仿宋_GB2312"/>
          <w:sz w:val="28"/>
          <w:szCs w:val="28"/>
          <w:highlight w:val="none"/>
        </w:rPr>
        <w:t>。</w:t>
      </w:r>
      <w:r>
        <w:rPr>
          <w:rFonts w:hint="eastAsia" w:ascii="仿宋_GB2312" w:eastAsia="仿宋_GB2312" w:cs="Times New Roman"/>
          <w:i w:val="0"/>
          <w:iCs w:val="0"/>
          <w:kern w:val="2"/>
          <w:sz w:val="28"/>
          <w:szCs w:val="28"/>
          <w:highlight w:val="none"/>
          <w:lang w:val="en-US" w:eastAsia="zh-CN" w:bidi="ar-SA"/>
        </w:rPr>
        <w:t>主要原因为：</w:t>
      </w:r>
      <w:r>
        <w:rPr>
          <w:rFonts w:hint="eastAsia" w:ascii="仿宋_GB2312" w:eastAsia="仿宋_GB2312"/>
          <w:sz w:val="28"/>
          <w:szCs w:val="28"/>
          <w:highlight w:val="none"/>
          <w:lang w:eastAsia="zh-CN"/>
        </w:rPr>
        <w:t>在职人员养老保险和职业年金基数调整</w:t>
      </w:r>
      <w:r>
        <w:rPr>
          <w:rFonts w:hint="eastAsia" w:ascii="仿宋_GB2312" w:eastAsia="仿宋_GB2312"/>
          <w:sz w:val="28"/>
          <w:szCs w:val="28"/>
        </w:rPr>
        <w:t>。</w:t>
      </w:r>
    </w:p>
    <w:p>
      <w:pPr>
        <w:keepNext w:val="0"/>
        <w:keepLines w:val="0"/>
        <w:pageBreakBefore w:val="0"/>
        <w:widowControl w:val="0"/>
        <w:numPr>
          <w:ilvl w:val="-1"/>
          <w:numId w:val="0"/>
        </w:numPr>
        <w:kinsoku/>
        <w:wordWrap/>
        <w:overflowPunct/>
        <w:topLinePunct w:val="0"/>
        <w:bidi w:val="0"/>
        <w:snapToGrid/>
        <w:spacing w:line="560" w:lineRule="exact"/>
        <w:ind w:firstLine="560" w:firstLineChars="200"/>
        <w:textAlignment w:val="auto"/>
        <w:rPr>
          <w:rFonts w:hint="eastAsia"/>
        </w:rPr>
      </w:pPr>
      <w:r>
        <w:rPr>
          <w:rFonts w:hint="eastAsia" w:ascii="仿宋_GB2312" w:hAnsi="Times New Roman" w:eastAsia="仿宋_GB2312" w:cs="Times New Roman"/>
          <w:i w:val="0"/>
          <w:iCs w:val="0"/>
          <w:kern w:val="2"/>
          <w:sz w:val="28"/>
          <w:szCs w:val="28"/>
          <w:lang w:val="en-US" w:eastAsia="zh-CN" w:bidi="ar-SA"/>
        </w:rPr>
        <w:t>“抚恤”（款）</w:t>
      </w:r>
      <w:r>
        <w:rPr>
          <w:rFonts w:hint="eastAsia" w:ascii="仿宋_GB2312" w:eastAsia="仿宋_GB2312"/>
          <w:sz w:val="28"/>
          <w:szCs w:val="28"/>
          <w:highlight w:val="none"/>
          <w:lang w:val="en-US" w:eastAsia="zh-CN"/>
        </w:rPr>
        <w:t>2024年度年初预算数0万元，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138.21</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w:t>
      </w:r>
      <w:r>
        <w:rPr>
          <w:rFonts w:hint="eastAsia" w:ascii="仿宋_GB2312" w:eastAsia="仿宋_GB2312"/>
          <w:sz w:val="28"/>
          <w:szCs w:val="28"/>
          <w:highlight w:val="none"/>
        </w:rPr>
        <w:t>。</w:t>
      </w:r>
      <w:r>
        <w:rPr>
          <w:rFonts w:hint="eastAsia" w:ascii="仿宋_GB2312" w:eastAsia="仿宋_GB2312" w:cs="Times New Roman"/>
          <w:i w:val="0"/>
          <w:iCs w:val="0"/>
          <w:kern w:val="2"/>
          <w:sz w:val="28"/>
          <w:szCs w:val="28"/>
          <w:highlight w:val="none"/>
          <w:lang w:val="en-US" w:eastAsia="zh-CN" w:bidi="ar-SA"/>
        </w:rPr>
        <w:t>主要原因为：根据我局当年实际情况，于年中追加相关经费。</w:t>
      </w:r>
    </w:p>
    <w:p>
      <w:pPr>
        <w:keepNext w:val="0"/>
        <w:keepLines w:val="0"/>
        <w:pageBreakBefore w:val="0"/>
        <w:widowControl w:val="0"/>
        <w:numPr>
          <w:ilvl w:val="-1"/>
          <w:numId w:val="0"/>
        </w:numPr>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highlight w:val="none"/>
          <w:lang w:val="en-US" w:eastAsia="zh-CN" w:bidi="ar-SA"/>
        </w:rPr>
      </w:pPr>
      <w:r>
        <w:rPr>
          <w:rFonts w:hint="eastAsia" w:ascii="仿宋_GB2312" w:eastAsia="仿宋_GB2312" w:cs="Times New Roman"/>
          <w:i w:val="0"/>
          <w:iCs w:val="0"/>
          <w:kern w:val="2"/>
          <w:sz w:val="28"/>
          <w:szCs w:val="28"/>
          <w:highlight w:val="none"/>
          <w:lang w:val="en-US" w:eastAsia="zh-CN" w:bidi="ar-SA"/>
        </w:rPr>
        <w:t>4、</w:t>
      </w:r>
      <w:r>
        <w:rPr>
          <w:rFonts w:hint="eastAsia" w:ascii="仿宋_GB2312" w:hAnsi="Times New Roman" w:eastAsia="仿宋_GB2312" w:cs="Times New Roman"/>
          <w:i w:val="0"/>
          <w:iCs w:val="0"/>
          <w:kern w:val="2"/>
          <w:sz w:val="28"/>
          <w:szCs w:val="28"/>
          <w:highlight w:val="none"/>
          <w:lang w:val="en-US" w:eastAsia="zh-CN" w:bidi="ar-SA"/>
        </w:rPr>
        <w:t>“</w:t>
      </w:r>
      <w:r>
        <w:rPr>
          <w:rFonts w:hint="eastAsia" w:ascii="仿宋_GB2312" w:eastAsia="仿宋_GB2312"/>
          <w:sz w:val="28"/>
          <w:szCs w:val="28"/>
          <w:highlight w:val="none"/>
          <w:lang w:eastAsia="zh-CN"/>
        </w:rPr>
        <w:t>卫生健康支出</w:t>
      </w:r>
      <w:r>
        <w:rPr>
          <w:rFonts w:hint="eastAsia" w:ascii="仿宋_GB2312" w:eastAsia="仿宋_GB2312"/>
          <w:sz w:val="28"/>
          <w:szCs w:val="28"/>
          <w:highlight w:val="none"/>
        </w:rPr>
        <w:t>”(类)</w:t>
      </w:r>
      <w:r>
        <w:rPr>
          <w:rFonts w:hint="eastAsia" w:ascii="仿宋_GB2312" w:eastAsia="仿宋_GB2312"/>
          <w:sz w:val="28"/>
          <w:szCs w:val="28"/>
          <w:highlight w:val="none"/>
          <w:lang w:val="en-US" w:eastAsia="zh-CN"/>
        </w:rPr>
        <w:t>2024年度年初预算数为1774.35万元，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eastAsia="zh-CN"/>
        </w:rPr>
        <w:t>2027</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lang w:eastAsia="zh-CN"/>
        </w:rPr>
        <w:t>5</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114.27%</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其中：</w:t>
      </w:r>
      <w:r>
        <w:rPr>
          <w:rFonts w:hint="eastAsia" w:ascii="仿宋_GB2312" w:hAnsi="Times New Roman" w:eastAsia="仿宋_GB2312" w:cs="Times New Roman"/>
          <w:i w:val="0"/>
          <w:iCs w:val="0"/>
          <w:kern w:val="2"/>
          <w:sz w:val="28"/>
          <w:szCs w:val="28"/>
          <w:highlight w:val="none"/>
          <w:lang w:val="en-US" w:eastAsia="zh-CN" w:bidi="ar-SA"/>
        </w:rPr>
        <w:t>“行政事业单位医疗”（款）</w:t>
      </w:r>
      <w:r>
        <w:rPr>
          <w:rFonts w:hint="eastAsia" w:ascii="仿宋_GB2312" w:eastAsia="仿宋_GB2312"/>
          <w:sz w:val="28"/>
          <w:szCs w:val="28"/>
          <w:highlight w:val="none"/>
          <w:lang w:val="en-US" w:eastAsia="zh-CN"/>
        </w:rPr>
        <w:t>2024年度年初预算数为1774.35万元，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eastAsia="zh-CN"/>
        </w:rPr>
        <w:t>2027</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lang w:eastAsia="zh-CN"/>
        </w:rPr>
        <w:t>5</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114.27%</w:t>
      </w:r>
      <w:r>
        <w:rPr>
          <w:rFonts w:hint="eastAsia" w:ascii="仿宋_GB2312" w:eastAsia="仿宋_GB2312"/>
          <w:sz w:val="28"/>
          <w:szCs w:val="28"/>
          <w:highlight w:val="none"/>
        </w:rPr>
        <w:t>。</w:t>
      </w:r>
      <w:r>
        <w:rPr>
          <w:rFonts w:hint="eastAsia" w:ascii="仿宋_GB2312" w:eastAsia="仿宋_GB2312" w:cs="Times New Roman"/>
          <w:i w:val="0"/>
          <w:iCs w:val="0"/>
          <w:kern w:val="2"/>
          <w:sz w:val="28"/>
          <w:szCs w:val="28"/>
          <w:highlight w:val="none"/>
          <w:lang w:val="en-US" w:eastAsia="zh-CN" w:bidi="ar-SA"/>
        </w:rPr>
        <w:t>主要原因为：本年度增加新入职及新调入人员。</w:t>
      </w:r>
    </w:p>
    <w:p>
      <w:pPr>
        <w:keepNext w:val="0"/>
        <w:keepLines w:val="0"/>
        <w:pageBreakBefore w:val="0"/>
        <w:widowControl w:val="0"/>
        <w:numPr>
          <w:ilvl w:val="0"/>
          <w:numId w:val="0"/>
        </w:numPr>
        <w:kinsoku/>
        <w:wordWrap/>
        <w:overflowPunct/>
        <w:topLinePunct w:val="0"/>
        <w:bidi w:val="0"/>
        <w:snapToGrid/>
        <w:spacing w:line="560" w:lineRule="exact"/>
        <w:ind w:left="0" w:firstLine="560" w:firstLineChars="200"/>
        <w:textAlignment w:val="auto"/>
        <w:rPr>
          <w:rFonts w:hint="default" w:ascii="仿宋_GB2312" w:hAnsi="Times New Roman" w:eastAsia="仿宋_GB2312" w:cs="Times New Roman"/>
          <w:i w:val="0"/>
          <w:iCs w:val="0"/>
          <w:kern w:val="2"/>
          <w:sz w:val="28"/>
          <w:szCs w:val="28"/>
          <w:highlight w:val="none"/>
          <w:lang w:val="en-US" w:eastAsia="zh-CN" w:bidi="ar-SA"/>
        </w:rPr>
      </w:pPr>
      <w:r>
        <w:rPr>
          <w:rFonts w:hint="eastAsia" w:ascii="仿宋_GB2312" w:eastAsia="仿宋_GB2312" w:cs="Times New Roman"/>
          <w:i w:val="0"/>
          <w:iCs w:val="0"/>
          <w:kern w:val="2"/>
          <w:sz w:val="28"/>
          <w:szCs w:val="28"/>
          <w:highlight w:val="none"/>
          <w:lang w:val="en-US" w:eastAsia="zh-CN" w:bidi="ar-SA"/>
        </w:rPr>
        <w:t>5、</w:t>
      </w:r>
      <w:r>
        <w:rPr>
          <w:rFonts w:hint="eastAsia" w:ascii="仿宋_GB2312" w:hAnsi="Times New Roman" w:eastAsia="仿宋_GB2312" w:cs="Times New Roman"/>
          <w:i w:val="0"/>
          <w:iCs w:val="0"/>
          <w:kern w:val="2"/>
          <w:sz w:val="28"/>
          <w:szCs w:val="28"/>
          <w:highlight w:val="none"/>
          <w:lang w:val="en-US" w:eastAsia="zh-CN" w:bidi="ar-SA"/>
        </w:rPr>
        <w:t>“</w:t>
      </w:r>
      <w:r>
        <w:rPr>
          <w:rFonts w:hint="eastAsia" w:ascii="仿宋_GB2312" w:eastAsia="仿宋_GB2312"/>
          <w:sz w:val="28"/>
          <w:szCs w:val="28"/>
          <w:highlight w:val="none"/>
          <w:lang w:eastAsia="zh-CN"/>
        </w:rPr>
        <w:t>住房保障支出</w:t>
      </w:r>
      <w:r>
        <w:rPr>
          <w:rFonts w:hint="eastAsia" w:ascii="仿宋_GB2312" w:eastAsia="仿宋_GB2312"/>
          <w:sz w:val="28"/>
          <w:szCs w:val="28"/>
          <w:highlight w:val="none"/>
        </w:rPr>
        <w:t>”(类)</w:t>
      </w:r>
      <w:r>
        <w:rPr>
          <w:rFonts w:hint="eastAsia" w:ascii="仿宋_GB2312" w:eastAsia="仿宋_GB2312"/>
          <w:sz w:val="28"/>
          <w:szCs w:val="28"/>
          <w:highlight w:val="none"/>
          <w:lang w:val="en-US" w:eastAsia="zh-CN"/>
        </w:rPr>
        <w:t>2024年度年初预算数为3232.26万元，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eastAsia="zh-CN"/>
        </w:rPr>
        <w:t>3679</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lang w:eastAsia="zh-CN"/>
        </w:rPr>
        <w:t>5</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113.84%。</w:t>
      </w:r>
      <w:r>
        <w:rPr>
          <w:rFonts w:hint="eastAsia" w:ascii="仿宋_GB2312" w:eastAsia="仿宋_GB2312" w:cs="Times New Roman"/>
          <w:i w:val="0"/>
          <w:iCs w:val="0"/>
          <w:sz w:val="28"/>
          <w:szCs w:val="28"/>
          <w:highlight w:val="none"/>
          <w:lang w:eastAsia="zh-CN"/>
        </w:rPr>
        <w:t>其中：“</w:t>
      </w:r>
      <w:r>
        <w:rPr>
          <w:rFonts w:hint="eastAsia" w:ascii="仿宋_GB2312" w:hAnsi="Times New Roman" w:eastAsia="仿宋_GB2312" w:cs="Times New Roman"/>
          <w:i w:val="0"/>
          <w:iCs w:val="0"/>
          <w:kern w:val="2"/>
          <w:sz w:val="28"/>
          <w:szCs w:val="28"/>
          <w:highlight w:val="none"/>
          <w:lang w:val="en-US" w:eastAsia="zh-CN" w:bidi="ar-SA"/>
        </w:rPr>
        <w:t>住房改革支出”（款）</w:t>
      </w:r>
      <w:r>
        <w:rPr>
          <w:rFonts w:hint="eastAsia" w:ascii="仿宋_GB2312" w:eastAsia="仿宋_GB2312"/>
          <w:sz w:val="28"/>
          <w:szCs w:val="28"/>
          <w:highlight w:val="none"/>
          <w:lang w:val="en-US" w:eastAsia="zh-CN"/>
        </w:rPr>
        <w:t>2024年度年初预算数为3232.26万元，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eastAsia="zh-CN"/>
        </w:rPr>
        <w:t>3679</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lang w:eastAsia="zh-CN"/>
        </w:rPr>
        <w:t>5</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113.84%</w:t>
      </w:r>
      <w:r>
        <w:rPr>
          <w:rFonts w:hint="eastAsia" w:ascii="仿宋_GB2312" w:eastAsia="仿宋_GB2312" w:cs="Times New Roman"/>
          <w:i w:val="0"/>
          <w:iCs w:val="0"/>
          <w:kern w:val="2"/>
          <w:sz w:val="28"/>
          <w:szCs w:val="28"/>
          <w:highlight w:val="none"/>
          <w:lang w:val="en-US" w:eastAsia="zh-CN" w:bidi="ar-SA"/>
        </w:rPr>
        <w:t>，主要原因为：本年度增加新入职及新调入人员。</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b w:val="0"/>
          <w:bCs/>
          <w:sz w:val="28"/>
          <w:szCs w:val="28"/>
        </w:rPr>
      </w:pPr>
      <w:r>
        <w:rPr>
          <w:rFonts w:hint="eastAsia" w:ascii="黑体" w:eastAsia="黑体"/>
          <w:b w:val="0"/>
          <w:bCs/>
          <w:sz w:val="28"/>
          <w:szCs w:val="28"/>
        </w:rPr>
        <w:t>五、政府性基金预算财政拨款支出决算情况说明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（一）政府性基金预算财政拨款支出决算总体情况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本单位20</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eastAsia="zh-CN"/>
        </w:rPr>
        <w:t>无</w:t>
      </w:r>
      <w:r>
        <w:rPr>
          <w:rFonts w:hint="eastAsia" w:ascii="仿宋_GB2312" w:hAnsi="Times New Roman" w:eastAsia="仿宋_GB2312" w:cs="Times New Roman"/>
          <w:sz w:val="28"/>
          <w:szCs w:val="28"/>
        </w:rPr>
        <w:t>政府性基金财政拨款收支。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（二）政府性基金预算财政拨款支出决算具体情况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本单位20</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eastAsia="zh-CN"/>
        </w:rPr>
        <w:t>无</w:t>
      </w:r>
      <w:r>
        <w:rPr>
          <w:rFonts w:hint="eastAsia" w:ascii="仿宋_GB2312" w:hAnsi="Times New Roman" w:eastAsia="仿宋_GB2312" w:cs="Times New Roman"/>
          <w:sz w:val="28"/>
          <w:szCs w:val="28"/>
        </w:rPr>
        <w:t>政府性基金财政拨款收支。</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48" w:firstLineChars="196"/>
        <w:textAlignment w:val="auto"/>
        <w:rPr>
          <w:rFonts w:ascii="黑体" w:eastAsia="黑体"/>
          <w:b w:val="0"/>
          <w:bCs/>
          <w:sz w:val="28"/>
          <w:szCs w:val="28"/>
        </w:rPr>
      </w:pPr>
      <w:r>
        <w:rPr>
          <w:rFonts w:hint="eastAsia" w:ascii="黑体" w:eastAsia="黑体"/>
          <w:b w:val="0"/>
          <w:bCs/>
          <w:sz w:val="28"/>
          <w:szCs w:val="28"/>
        </w:rPr>
        <w:t>七、财政拨款基本支出决算情况说明</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年度使用一般公共预算财政拨款安排基本支出出</w:t>
      </w:r>
      <w:r>
        <w:rPr>
          <w:rFonts w:ascii="仿宋_GB2312" w:eastAsia="仿宋_GB2312"/>
          <w:sz w:val="28"/>
          <w:szCs w:val="28"/>
        </w:rPr>
        <w:t>25576.26</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rPr>
      </w:pPr>
      <w:r>
        <w:rPr>
          <w:rFonts w:hint="eastAsia" w:ascii="黑体" w:eastAsia="黑体"/>
          <w:sz w:val="28"/>
          <w:szCs w:val="28"/>
        </w:rPr>
        <w:t>一、“三公”经费财政拨款决算情况</w:t>
      </w:r>
    </w:p>
    <w:p>
      <w:pPr>
        <w:keepNext w:val="0"/>
        <w:keepLines w:val="0"/>
        <w:pageBreakBefore w:val="0"/>
        <w:widowControl w:val="0"/>
        <w:kinsoku/>
        <w:wordWrap/>
        <w:overflowPunct/>
        <w:topLinePunct w:val="0"/>
        <w:bidi w:val="0"/>
        <w:snapToGrid/>
        <w:spacing w:line="560" w:lineRule="exact"/>
        <w:ind w:firstLine="60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98.92</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270.23</w:t>
      </w:r>
      <w:r>
        <w:rPr>
          <w:rFonts w:hint="eastAsia" w:ascii="仿宋_GB2312" w:eastAsia="仿宋_GB2312"/>
          <w:sz w:val="28"/>
          <w:szCs w:val="28"/>
        </w:rPr>
        <w:t>万元减少</w:t>
      </w:r>
      <w:r>
        <w:rPr>
          <w:rFonts w:ascii="仿宋_GB2312" w:eastAsia="仿宋_GB2312"/>
          <w:sz w:val="28"/>
          <w:szCs w:val="28"/>
        </w:rPr>
        <w:t>171.31</w:t>
      </w:r>
      <w:r>
        <w:rPr>
          <w:rFonts w:hint="eastAsia" w:ascii="仿宋_GB2312" w:eastAsia="仿宋_GB2312"/>
          <w:sz w:val="28"/>
          <w:szCs w:val="28"/>
        </w:rPr>
        <w:t>万元。其中：</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4.3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4.3</w:t>
      </w:r>
      <w:r>
        <w:rPr>
          <w:rFonts w:hint="eastAsia" w:ascii="仿宋_GB2312" w:eastAsia="仿宋_GB2312"/>
          <w:sz w:val="28"/>
          <w:szCs w:val="28"/>
        </w:rPr>
        <w:t>万元。主要原因：</w:t>
      </w:r>
      <w:r>
        <w:rPr>
          <w:rFonts w:ascii="仿宋_GB2312" w:hAnsi="Times New Roman" w:eastAsia="仿宋_GB2312" w:cs="Times New Roman"/>
          <w:sz w:val="28"/>
          <w:szCs w:val="28"/>
        </w:rPr>
        <w:t>按照区里统一安排，经区政府外事办与区商务局统筹，我局</w:t>
      </w:r>
      <w:r>
        <w:rPr>
          <w:rFonts w:hint="eastAsia" w:ascii="仿宋_GB2312" w:eastAsia="仿宋_GB2312" w:cs="Times New Roman"/>
          <w:sz w:val="28"/>
          <w:szCs w:val="28"/>
          <w:lang w:eastAsia="zh-CN"/>
        </w:rPr>
        <w:t>派员</w:t>
      </w:r>
      <w:r>
        <w:rPr>
          <w:rFonts w:ascii="仿宋_GB2312" w:hAnsi="Times New Roman" w:eastAsia="仿宋_GB2312" w:cs="Times New Roman"/>
          <w:sz w:val="28"/>
          <w:szCs w:val="28"/>
        </w:rPr>
        <w:t>参</w:t>
      </w:r>
      <w:r>
        <w:rPr>
          <w:rFonts w:hint="eastAsia" w:ascii="仿宋_GB2312" w:hAnsi="Times New Roman" w:eastAsia="仿宋_GB2312" w:cs="Times New Roman"/>
          <w:sz w:val="28"/>
          <w:szCs w:val="28"/>
          <w:lang w:eastAsia="zh-CN"/>
        </w:rPr>
        <w:t>加</w:t>
      </w:r>
      <w:r>
        <w:rPr>
          <w:rFonts w:hint="eastAsia" w:ascii="仿宋_GB2312" w:eastAsia="仿宋_GB2312" w:cs="Times New Roman"/>
          <w:sz w:val="28"/>
          <w:szCs w:val="28"/>
          <w:lang w:eastAsia="zh-CN"/>
        </w:rPr>
        <w:t>因公出国（境）活动，故产生费用</w:t>
      </w:r>
      <w:r>
        <w:rPr>
          <w:rFonts w:hint="eastAsia" w:ascii="仿宋_GB2312" w:eastAsia="仿宋_GB2312" w:cs="Times New Roman"/>
          <w:sz w:val="28"/>
          <w:szCs w:val="28"/>
          <w:lang w:val="en-US" w:eastAsia="zh-CN"/>
        </w:rPr>
        <w:t>4.3万元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1</w:t>
      </w:r>
      <w:r>
        <w:rPr>
          <w:rFonts w:hint="eastAsia" w:ascii="仿宋_GB2312" w:eastAsia="仿宋_GB2312"/>
          <w:sz w:val="28"/>
          <w:szCs w:val="28"/>
        </w:rPr>
        <w:t>人次。</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14.73</w:t>
      </w:r>
      <w:r>
        <w:rPr>
          <w:rFonts w:hint="eastAsia" w:ascii="仿宋_GB2312" w:eastAsia="仿宋_GB2312"/>
          <w:sz w:val="28"/>
          <w:szCs w:val="28"/>
        </w:rPr>
        <w:t>万元减少</w:t>
      </w:r>
      <w:r>
        <w:rPr>
          <w:rFonts w:ascii="仿宋_GB2312" w:eastAsia="仿宋_GB2312"/>
          <w:sz w:val="28"/>
          <w:szCs w:val="28"/>
        </w:rPr>
        <w:t>14.73</w:t>
      </w:r>
      <w:r>
        <w:rPr>
          <w:rFonts w:hint="eastAsia" w:ascii="仿宋_GB2312" w:eastAsia="仿宋_GB2312"/>
          <w:sz w:val="28"/>
          <w:szCs w:val="28"/>
        </w:rPr>
        <w:t>万元。主要原因：</w:t>
      </w:r>
      <w:r>
        <w:rPr>
          <w:rFonts w:hint="eastAsia" w:ascii="仿宋_GB2312" w:eastAsia="仿宋_GB2312"/>
          <w:sz w:val="28"/>
          <w:szCs w:val="28"/>
          <w:lang w:eastAsia="zh-CN"/>
        </w:rPr>
        <w:t>我单位本年度无公务接待</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94.62</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255.5</w:t>
      </w:r>
      <w:r>
        <w:rPr>
          <w:rFonts w:hint="eastAsia" w:ascii="仿宋_GB2312" w:eastAsia="仿宋_GB2312"/>
          <w:sz w:val="28"/>
          <w:szCs w:val="28"/>
        </w:rPr>
        <w:t>万元减少</w:t>
      </w:r>
      <w:r>
        <w:rPr>
          <w:rFonts w:ascii="仿宋_GB2312" w:eastAsia="仿宋_GB2312"/>
          <w:sz w:val="28"/>
          <w:szCs w:val="28"/>
        </w:rPr>
        <w:t>160.88</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我单位本年度未购置公务用车</w:t>
      </w:r>
      <w:r>
        <w:rPr>
          <w:rFonts w:hint="eastAsia" w:ascii="仿宋_GB2312" w:eastAsia="仿宋_GB2312"/>
          <w:sz w:val="28"/>
          <w:szCs w:val="28"/>
        </w:rPr>
        <w:t>。公务用车运行维护费202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94.62</w:t>
      </w:r>
      <w:r>
        <w:rPr>
          <w:rFonts w:hint="eastAsia" w:ascii="仿宋_GB2312" w:eastAsia="仿宋_GB2312"/>
          <w:sz w:val="28"/>
          <w:szCs w:val="28"/>
        </w:rPr>
        <w:t>万元，主要原因：</w:t>
      </w:r>
      <w:r>
        <w:rPr>
          <w:rFonts w:hint="eastAsia" w:ascii="仿宋_GB2312" w:eastAsia="仿宋_GB2312"/>
          <w:sz w:val="28"/>
          <w:szCs w:val="28"/>
          <w:lang w:eastAsia="zh-CN"/>
        </w:rPr>
        <w:t>压缩经费，节约财政资金</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124</w:t>
      </w:r>
      <w:r>
        <w:rPr>
          <w:rFonts w:hint="eastAsia" w:ascii="仿宋_GB2312" w:eastAsia="仿宋_GB2312"/>
          <w:sz w:val="28"/>
          <w:szCs w:val="28"/>
        </w:rPr>
        <w:t>辆。</w:t>
      </w:r>
    </w:p>
    <w:p>
      <w:pPr>
        <w:keepNext w:val="0"/>
        <w:keepLines w:val="0"/>
        <w:pageBreakBefore w:val="0"/>
        <w:widowControl w:val="0"/>
        <w:tabs>
          <w:tab w:val="center" w:pos="6979"/>
        </w:tabs>
        <w:kinsoku/>
        <w:wordWrap/>
        <w:overflowPunct/>
        <w:topLinePunct w:val="0"/>
        <w:bidi w:val="0"/>
        <w:snapToGrid/>
        <w:spacing w:line="560" w:lineRule="exact"/>
        <w:ind w:firstLine="554" w:firstLineChars="198"/>
        <w:textAlignment w:val="auto"/>
        <w:rPr>
          <w:rFonts w:ascii="黑体" w:eastAsia="黑体"/>
          <w:sz w:val="28"/>
          <w:szCs w:val="28"/>
        </w:rPr>
      </w:pPr>
      <w:r>
        <w:rPr>
          <w:rFonts w:hint="eastAsia" w:ascii="黑体" w:eastAsia="黑体"/>
          <w:sz w:val="28"/>
          <w:szCs w:val="28"/>
        </w:rPr>
        <w:t>二、机关运行经费支出情况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年度使用财政拨款安排的基本支出中的日常公用经费支出，合计1915</w:t>
      </w: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val="en-US" w:eastAsia="zh-CN"/>
        </w:rPr>
        <w:t>2</w:t>
      </w:r>
      <w:r>
        <w:rPr>
          <w:rFonts w:hint="eastAsia" w:ascii="仿宋_GB2312" w:eastAsia="仿宋_GB2312"/>
          <w:sz w:val="28"/>
          <w:szCs w:val="28"/>
        </w:rPr>
        <w:t>万元，比上年减少</w:t>
      </w:r>
      <w:r>
        <w:rPr>
          <w:rFonts w:hint="eastAsia" w:ascii="仿宋_GB2312" w:eastAsia="仿宋_GB2312"/>
          <w:sz w:val="28"/>
          <w:szCs w:val="28"/>
          <w:lang w:val="en-US" w:eastAsia="zh-CN"/>
        </w:rPr>
        <w:t>58.46</w:t>
      </w:r>
      <w:r>
        <w:rPr>
          <w:rFonts w:hint="eastAsia" w:ascii="仿宋_GB2312" w:eastAsia="仿宋_GB2312"/>
          <w:sz w:val="28"/>
          <w:szCs w:val="28"/>
        </w:rPr>
        <w:t>万元，减少原因：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left="540"/>
        <w:textAlignment w:val="auto"/>
        <w:rPr>
          <w:rFonts w:ascii="黑体" w:eastAsia="黑体"/>
          <w:sz w:val="28"/>
          <w:szCs w:val="28"/>
        </w:rPr>
      </w:pPr>
      <w:r>
        <w:rPr>
          <w:rFonts w:hint="eastAsia" w:ascii="黑体" w:eastAsia="黑体"/>
          <w:sz w:val="28"/>
          <w:szCs w:val="28"/>
        </w:rPr>
        <w:t>三、政府采购支出情况</w:t>
      </w:r>
    </w:p>
    <w:p>
      <w:pPr>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1060.67</w:t>
      </w:r>
      <w:r>
        <w:rPr>
          <w:rFonts w:hint="eastAsia" w:ascii="仿宋_GB2312" w:eastAsia="仿宋_GB2312"/>
          <w:sz w:val="28"/>
          <w:szCs w:val="28"/>
        </w:rPr>
        <w:t>万元，其中：政府采购货物支出</w:t>
      </w:r>
      <w:r>
        <w:rPr>
          <w:rFonts w:ascii="仿宋_GB2312" w:eastAsia="仿宋_GB2312"/>
          <w:sz w:val="28"/>
          <w:szCs w:val="28"/>
        </w:rPr>
        <w:t>45.15</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1015.53</w:t>
      </w:r>
      <w:r>
        <w:rPr>
          <w:rFonts w:hint="eastAsia" w:ascii="仿宋_GB2312" w:eastAsia="仿宋_GB2312"/>
          <w:sz w:val="28"/>
          <w:szCs w:val="28"/>
        </w:rPr>
        <w:t>万元。授予中小企业合同金额</w:t>
      </w:r>
      <w:r>
        <w:rPr>
          <w:rFonts w:ascii="仿宋_GB2312" w:eastAsia="仿宋_GB2312"/>
          <w:sz w:val="28"/>
          <w:szCs w:val="28"/>
        </w:rPr>
        <w:t>561.11</w:t>
      </w:r>
      <w:r>
        <w:rPr>
          <w:rFonts w:hint="eastAsia" w:ascii="仿宋_GB2312" w:eastAsia="仿宋_GB2312"/>
          <w:sz w:val="28"/>
          <w:szCs w:val="28"/>
        </w:rPr>
        <w:t>万元，占政府采购支出总额的</w:t>
      </w:r>
      <w:r>
        <w:rPr>
          <w:rFonts w:hint="eastAsia" w:ascii="仿宋_GB2312" w:eastAsia="仿宋_GB2312"/>
          <w:sz w:val="28"/>
          <w:szCs w:val="28"/>
          <w:lang w:eastAsia="zh-CN"/>
        </w:rPr>
        <w:t>52.9</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144.75万元，占政府采购支出总额的</w:t>
      </w:r>
      <w:r>
        <w:rPr>
          <w:rFonts w:ascii="仿宋_GB2312" w:eastAsia="仿宋_GB2312"/>
          <w:sz w:val="28"/>
          <w:szCs w:val="28"/>
        </w:rPr>
        <w:t>13.65</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highlight w:val="yellow"/>
        </w:rPr>
      </w:pPr>
      <w:r>
        <w:rPr>
          <w:rFonts w:hint="eastAsia" w:ascii="黑体" w:eastAsia="黑体"/>
          <w:sz w:val="28"/>
          <w:szCs w:val="28"/>
        </w:rPr>
        <w:t>四、国有资产占用情况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32"/>
          <w:szCs w:val="32"/>
        </w:rPr>
      </w:pPr>
      <w:r>
        <w:rPr>
          <w:rFonts w:hint="eastAsia" w:ascii="仿宋_GB2312" w:eastAsia="仿宋_GB2312"/>
          <w:sz w:val="28"/>
          <w:szCs w:val="28"/>
        </w:rPr>
        <w:t>截至12月31日，</w:t>
      </w:r>
      <w:r>
        <w:rPr>
          <w:rFonts w:hint="eastAsia" w:ascii="仿宋_GB2312" w:eastAsia="仿宋_GB2312"/>
          <w:sz w:val="28"/>
          <w:szCs w:val="28"/>
          <w:lang w:eastAsia="zh-CN"/>
        </w:rPr>
        <w:t>本</w:t>
      </w:r>
      <w:r>
        <w:rPr>
          <w:rFonts w:hint="eastAsia" w:ascii="仿宋_GB2312" w:hAnsi="Times New Roman" w:eastAsia="仿宋_GB2312" w:cs="Times New Roman"/>
          <w:sz w:val="28"/>
          <w:szCs w:val="28"/>
        </w:rPr>
        <w:t>部门共有车辆124台；</w:t>
      </w:r>
      <w:r>
        <w:rPr>
          <w:rFonts w:hint="eastAsia" w:ascii="仿宋_GB2312" w:eastAsia="仿宋_GB2312"/>
          <w:sz w:val="28"/>
          <w:szCs w:val="28"/>
          <w:lang w:eastAsia="zh-CN"/>
        </w:rPr>
        <w:t>无</w:t>
      </w:r>
      <w:r>
        <w:rPr>
          <w:rFonts w:hint="eastAsia" w:ascii="仿宋_GB2312" w:eastAsia="仿宋_GB2312"/>
          <w:sz w:val="28"/>
          <w:szCs w:val="28"/>
        </w:rPr>
        <w:t>单价100万元以上的设备。</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政府购买服务决算1374.3</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7.各单位需根据自身业务职能，补充当年使用的所有支出功能分类项级科目名词解释：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bookmarkStart w:id="0" w:name="OLE_LINK6"/>
      <w:r>
        <w:rPr>
          <w:rFonts w:hint="eastAsia" w:ascii="仿宋_GB2312" w:eastAsia="仿宋_GB2312"/>
          <w:sz w:val="28"/>
          <w:szCs w:val="28"/>
        </w:rPr>
        <w:t>一般公共服务支出（类）</w:t>
      </w:r>
      <w:r>
        <w:rPr>
          <w:rFonts w:hint="eastAsia" w:ascii="仿宋_GB2312" w:hAnsi="Times New Roman" w:eastAsia="仿宋_GB2312" w:cs="Times New Roman"/>
          <w:i w:val="0"/>
          <w:iCs w:val="0"/>
          <w:kern w:val="2"/>
          <w:sz w:val="28"/>
          <w:szCs w:val="28"/>
          <w:lang w:val="en-US" w:eastAsia="zh-CN" w:bidi="ar-SA"/>
        </w:rPr>
        <w:t>市场监督管理事务</w:t>
      </w:r>
      <w:r>
        <w:rPr>
          <w:rFonts w:hint="eastAsia" w:ascii="仿宋_GB2312" w:eastAsia="仿宋_GB2312"/>
          <w:sz w:val="28"/>
          <w:szCs w:val="28"/>
        </w:rPr>
        <w:t>（款）行政运行（项）</w:t>
      </w:r>
      <w:bookmarkEnd w:id="0"/>
      <w:r>
        <w:rPr>
          <w:rFonts w:hint="eastAsia" w:ascii="仿宋_GB2312" w:eastAsia="仿宋_GB2312"/>
          <w:sz w:val="28"/>
          <w:szCs w:val="28"/>
        </w:rPr>
        <w:t>：反映行政单位（包括实行公务员管理的事业单位）的基本支出。</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一般公共服务支出（类）市场监督管理事务（款）事业运行（项）：反映事业单位的基本支出</w:t>
      </w:r>
      <w:r>
        <w:rPr>
          <w:rFonts w:hint="eastAsia" w:ascii="仿宋_GB2312" w:eastAsia="仿宋_GB2312" w:cs="Times New Roman"/>
          <w:i w:val="0"/>
          <w:iCs w:val="0"/>
          <w:kern w:val="2"/>
          <w:sz w:val="28"/>
          <w:szCs w:val="28"/>
          <w:lang w:val="en-US" w:eastAsia="zh-CN" w:bidi="ar-SA"/>
        </w:rPr>
        <w:t>，不包括行政单位（包括试行公务员管理的事业单位）后勤服务中心等附属事业单位</w:t>
      </w:r>
      <w:r>
        <w:rPr>
          <w:rFonts w:hint="eastAsia" w:ascii="仿宋_GB2312" w:hAnsi="Times New Roman" w:eastAsia="仿宋_GB2312" w:cs="Times New Roman"/>
          <w:i w:val="0"/>
          <w:iCs w:val="0"/>
          <w:kern w:val="2"/>
          <w:sz w:val="28"/>
          <w:szCs w:val="28"/>
          <w:lang w:val="en-US" w:eastAsia="zh-CN" w:bidi="ar-SA"/>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一般公共服务支出（类）市场监督管理事务（款）</w:t>
      </w:r>
      <w:r>
        <w:rPr>
          <w:rFonts w:hint="eastAsia" w:ascii="仿宋_GB2312" w:eastAsia="仿宋_GB2312" w:cs="Times New Roman"/>
          <w:i w:val="0"/>
          <w:iCs w:val="0"/>
          <w:kern w:val="2"/>
          <w:sz w:val="28"/>
          <w:szCs w:val="28"/>
          <w:lang w:val="en-US" w:eastAsia="zh-CN" w:bidi="ar-SA"/>
        </w:rPr>
        <w:t>其他市场监督管理局事务</w:t>
      </w:r>
      <w:r>
        <w:rPr>
          <w:rFonts w:hint="eastAsia" w:ascii="仿宋_GB2312" w:hAnsi="Times New Roman" w:eastAsia="仿宋_GB2312" w:cs="Times New Roman"/>
          <w:i w:val="0"/>
          <w:iCs w:val="0"/>
          <w:kern w:val="2"/>
          <w:sz w:val="28"/>
          <w:szCs w:val="28"/>
          <w:lang w:val="en-US" w:eastAsia="zh-CN" w:bidi="ar-SA"/>
        </w:rPr>
        <w:t>（项）</w:t>
      </w:r>
      <w:r>
        <w:rPr>
          <w:rFonts w:hint="eastAsia" w:ascii="仿宋_GB2312" w:eastAsia="仿宋_GB2312" w:cs="Times New Roman"/>
          <w:i w:val="0"/>
          <w:iCs w:val="0"/>
          <w:kern w:val="2"/>
          <w:sz w:val="28"/>
          <w:szCs w:val="28"/>
          <w:lang w:val="en-US" w:eastAsia="zh-CN" w:bidi="ar-SA"/>
        </w:rPr>
        <w:t>：反映用于除上述项目以外其他市场监督管理事务方面的支出。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1" w:name="OLE_LINK8"/>
      <w:r>
        <w:rPr>
          <w:rFonts w:hint="eastAsia" w:ascii="仿宋_GB2312" w:hAnsi="Times New Roman" w:eastAsia="仿宋_GB2312" w:cs="Times New Roman"/>
          <w:i w:val="0"/>
          <w:iCs w:val="0"/>
          <w:kern w:val="2"/>
          <w:sz w:val="28"/>
          <w:szCs w:val="28"/>
          <w:lang w:val="en-US" w:eastAsia="zh-CN" w:bidi="ar-SA"/>
        </w:rPr>
        <w:t>教育支出（类）进修及培训（款）培训支出（项）</w:t>
      </w:r>
      <w:bookmarkEnd w:id="1"/>
      <w:r>
        <w:rPr>
          <w:rFonts w:hint="eastAsia" w:ascii="仿宋_GB2312" w:hAnsi="Times New Roman" w:eastAsia="仿宋_GB2312" w:cs="Times New Roman"/>
          <w:i w:val="0"/>
          <w:iCs w:val="0"/>
          <w:kern w:val="2"/>
          <w:sz w:val="28"/>
          <w:szCs w:val="28"/>
          <w:lang w:val="en-US" w:eastAsia="zh-CN" w:bidi="ar-SA"/>
        </w:rPr>
        <w:t>：反映我单位安排的或参加其他单位安排的用于培训的支出。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2" w:name="OLE_LINK9"/>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社会保障和就业支出（类）行政事业单位养老支出（款）行政单位离退休（项）：</w:t>
      </w:r>
      <w:bookmarkEnd w:id="2"/>
      <w:r>
        <w:rPr>
          <w:rFonts w:hint="eastAsia" w:ascii="仿宋_GB2312" w:hAnsi="Times New Roman" w:eastAsia="仿宋_GB2312" w:cs="Times New Roman"/>
          <w:i w:val="0"/>
          <w:iCs w:val="0"/>
          <w:kern w:val="2"/>
          <w:sz w:val="28"/>
          <w:szCs w:val="28"/>
          <w:lang w:val="en-US" w:eastAsia="zh-CN" w:bidi="ar-SA"/>
        </w:rPr>
        <w:t>反映行政单位（包括实行公务员管理的事业单位）开支的离退休经费。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社会保障和就业支出（类）行政事业单位养老支出（款）事业单位离退休（项）：反映事业单位开支的离退休经费。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社会保障和就业支出（类）行政事业单位养老支出（款）机关事业单位基本养老保险缴费支出（项）：</w:t>
      </w:r>
      <w:r>
        <w:rPr>
          <w:rFonts w:hint="eastAsia" w:ascii="仿宋_GB2312" w:eastAsia="仿宋_GB2312" w:cs="Times New Roman"/>
          <w:i w:val="0"/>
          <w:iCs w:val="0"/>
          <w:kern w:val="2"/>
          <w:sz w:val="28"/>
          <w:szCs w:val="28"/>
          <w:lang w:val="en-US" w:eastAsia="zh-CN" w:bidi="ar-SA"/>
        </w:rPr>
        <w:t>反映</w:t>
      </w:r>
      <w:r>
        <w:rPr>
          <w:rFonts w:hint="eastAsia" w:ascii="仿宋_GB2312" w:hAnsi="Times New Roman" w:eastAsia="仿宋_GB2312" w:cs="Times New Roman"/>
          <w:i w:val="0"/>
          <w:iCs w:val="0"/>
          <w:kern w:val="2"/>
          <w:sz w:val="28"/>
          <w:szCs w:val="28"/>
          <w:lang w:val="en-US" w:eastAsia="zh-CN" w:bidi="ar-SA"/>
        </w:rPr>
        <w:t>机关事业单位实施养老保险制度由单位缴纳的基本养老保险支出。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3" w:name="OLE_LINK10"/>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社会保障和就业支出（类）行政事业单位养老支出（款）机关事业单位职业年金缴费支出（项）</w:t>
      </w:r>
      <w:bookmarkEnd w:id="3"/>
      <w:r>
        <w:rPr>
          <w:rFonts w:hint="eastAsia" w:ascii="仿宋_GB2312" w:hAnsi="Times New Roman" w:eastAsia="仿宋_GB2312" w:cs="Times New Roman"/>
          <w:i w:val="0"/>
          <w:iCs w:val="0"/>
          <w:kern w:val="2"/>
          <w:sz w:val="28"/>
          <w:szCs w:val="28"/>
          <w:lang w:val="en-US" w:eastAsia="zh-CN" w:bidi="ar-SA"/>
        </w:rPr>
        <w:t>：反映机关事业单位实施养老保险制度由单位实际缴纳的职业年金支出。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社会保障和就业支出（类）抚恤（款）死亡抚恤（项）：反映按规定用于人员死亡的一次性抚恤金、丧葬费补助。</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卫生健康支出（类）行政事业单位医疗（款）行政单位医疗（项）：反映财政部门安排的行政单位（包括实行公务员管理的事业单位）基本医疗保险缴费经费。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卫生健康支出（类）行政事业单位医疗（款）事业单位医疗（项）：反映财政部门安排的事业单位基本医疗保险缴费经费。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卫生健康支出（类）行政事业单位医疗（款）其他行政事业单位医疗支出（项）：反映除行政单位医疗及事业单位医疗以外的其他用于行政事业单位医疗方面的支出。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住房保障支出（类）住房改革支出（款）购房补贴（项）：反映按房改政策规定，行政事业单位向符合条件职工发放的用于购买住房的补贴。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hAnsi="Times New Roman" w:eastAsia="仿宋_GB2312" w:cs="Times New Roman"/>
          <w:i w:val="0"/>
          <w:iCs w:val="0"/>
          <w:kern w:val="2"/>
          <w:sz w:val="28"/>
          <w:szCs w:val="28"/>
          <w:lang w:val="en-US" w:eastAsia="zh-CN" w:bidi="ar-SA"/>
        </w:rPr>
        <w:t>住房保障支出（类）住房改革支出（款）</w:t>
      </w:r>
      <w:r>
        <w:rPr>
          <w:rFonts w:hint="eastAsia" w:ascii="仿宋_GB2312" w:eastAsia="仿宋_GB2312" w:cs="Times New Roman"/>
          <w:i w:val="0"/>
          <w:iCs w:val="0"/>
          <w:kern w:val="2"/>
          <w:sz w:val="28"/>
          <w:szCs w:val="28"/>
          <w:lang w:val="en-US" w:eastAsia="zh-CN" w:bidi="ar-SA"/>
        </w:rPr>
        <w:t>提租</w:t>
      </w:r>
      <w:r>
        <w:rPr>
          <w:rFonts w:hint="eastAsia" w:ascii="仿宋_GB2312" w:hAnsi="Times New Roman" w:eastAsia="仿宋_GB2312" w:cs="Times New Roman"/>
          <w:i w:val="0"/>
          <w:iCs w:val="0"/>
          <w:kern w:val="2"/>
          <w:sz w:val="28"/>
          <w:szCs w:val="28"/>
          <w:lang w:val="en-US" w:eastAsia="zh-CN" w:bidi="ar-SA"/>
        </w:rPr>
        <w:t>补贴（项）：反映按房改政策规定</w:t>
      </w:r>
      <w:r>
        <w:rPr>
          <w:rFonts w:hint="eastAsia" w:ascii="仿宋_GB2312" w:eastAsia="仿宋_GB2312" w:cs="Times New Roman"/>
          <w:i w:val="0"/>
          <w:iCs w:val="0"/>
          <w:kern w:val="2"/>
          <w:sz w:val="28"/>
          <w:szCs w:val="28"/>
          <w:lang w:val="en-US" w:eastAsia="zh-CN" w:bidi="ar-SA"/>
        </w:rPr>
        <w:t>的标准</w:t>
      </w:r>
      <w:r>
        <w:rPr>
          <w:rFonts w:hint="eastAsia" w:ascii="仿宋_GB2312" w:hAnsi="Times New Roman" w:eastAsia="仿宋_GB2312" w:cs="Times New Roman"/>
          <w:i w:val="0"/>
          <w:iCs w:val="0"/>
          <w:kern w:val="2"/>
          <w:sz w:val="28"/>
          <w:szCs w:val="28"/>
          <w:lang w:val="en-US" w:eastAsia="zh-CN" w:bidi="ar-SA"/>
        </w:rPr>
        <w:t>，行政事业单位向</w:t>
      </w:r>
      <w:r>
        <w:rPr>
          <w:rFonts w:hint="eastAsia" w:ascii="仿宋_GB2312" w:eastAsia="仿宋_GB2312" w:cs="Times New Roman"/>
          <w:i w:val="0"/>
          <w:iCs w:val="0"/>
          <w:kern w:val="2"/>
          <w:sz w:val="28"/>
          <w:szCs w:val="28"/>
          <w:lang w:val="en-US" w:eastAsia="zh-CN" w:bidi="ar-SA"/>
        </w:rPr>
        <w:t>职工发放的租金补贴</w:t>
      </w:r>
      <w:r>
        <w:rPr>
          <w:rFonts w:hint="eastAsia" w:ascii="仿宋_GB2312" w:hAnsi="Times New Roman" w:eastAsia="仿宋_GB2312" w:cs="Times New Roman"/>
          <w:i w:val="0"/>
          <w:iCs w:val="0"/>
          <w:kern w:val="2"/>
          <w:sz w:val="28"/>
          <w:szCs w:val="28"/>
          <w:lang w:val="en-US" w:eastAsia="zh-CN" w:bidi="ar-SA"/>
        </w:rPr>
        <w:t>。</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ascii="仿宋_GB2312" w:eastAsia="仿宋_GB2312"/>
          <w:b/>
          <w:color w:val="000000"/>
          <w:spacing w:val="-2"/>
          <w:sz w:val="32"/>
          <w:szCs w:val="32"/>
        </w:rPr>
      </w:pP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ascii="黑体" w:eastAsia="黑体"/>
          <w:sz w:val="32"/>
          <w:szCs w:val="32"/>
        </w:rPr>
      </w:pP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ascii="黑体" w:eastAsia="黑体"/>
          <w:sz w:val="32"/>
          <w:szCs w:val="32"/>
        </w:rPr>
      </w:pP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highlight w:val="yellow"/>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lang w:eastAsia="zh-CN"/>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w:t>
      </w:r>
      <w:bookmarkStart w:id="4" w:name="_GoBack"/>
      <w:bookmarkEnd w:id="4"/>
      <w:r>
        <w:rPr>
          <w:rFonts w:ascii="黑体" w:eastAsia="黑体"/>
          <w:sz w:val="28"/>
          <w:szCs w:val="28"/>
        </w:rPr>
        <w:t>表</w:t>
      </w:r>
      <w:r>
        <w:rPr>
          <w:rFonts w:hint="eastAsia" w:ascii="黑体" w:eastAsia="黑体"/>
          <w:sz w:val="28"/>
          <w:szCs w:val="28"/>
          <w:lang w:eastAsia="zh-CN"/>
        </w:rPr>
        <w:t>（详见附件）</w:t>
      </w:r>
    </w:p>
    <w:p>
      <w:pPr>
        <w:keepNext w:val="0"/>
        <w:keepLines w:val="0"/>
        <w:pageBreakBefore w:val="0"/>
        <w:widowControl w:val="0"/>
        <w:kinsoku/>
        <w:wordWrap/>
        <w:overflowPunct/>
        <w:topLinePunct w:val="0"/>
        <w:bidi w:val="0"/>
        <w:snapToGrid/>
        <w:spacing w:line="560" w:lineRule="exact"/>
        <w:textAlignment w:val="auto"/>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1A0B7A"/>
    <w:rsid w:val="03D710DC"/>
    <w:rsid w:val="04C3537C"/>
    <w:rsid w:val="05CE16A0"/>
    <w:rsid w:val="063B4B8F"/>
    <w:rsid w:val="070761F5"/>
    <w:rsid w:val="079004AC"/>
    <w:rsid w:val="08ED2CD3"/>
    <w:rsid w:val="0950060A"/>
    <w:rsid w:val="0A2C6FDD"/>
    <w:rsid w:val="0AA74B9A"/>
    <w:rsid w:val="0ADD412E"/>
    <w:rsid w:val="0BA148CA"/>
    <w:rsid w:val="0C1165C4"/>
    <w:rsid w:val="0DD136FE"/>
    <w:rsid w:val="0DE766FA"/>
    <w:rsid w:val="0E4E0B61"/>
    <w:rsid w:val="0EBA22D5"/>
    <w:rsid w:val="0F8E2C57"/>
    <w:rsid w:val="1059665E"/>
    <w:rsid w:val="10AC13BA"/>
    <w:rsid w:val="10F57B32"/>
    <w:rsid w:val="117E3F96"/>
    <w:rsid w:val="126D019E"/>
    <w:rsid w:val="1280425A"/>
    <w:rsid w:val="12B84863"/>
    <w:rsid w:val="145A6C1B"/>
    <w:rsid w:val="15865C3E"/>
    <w:rsid w:val="167A2FF9"/>
    <w:rsid w:val="19187DEB"/>
    <w:rsid w:val="19B43FB1"/>
    <w:rsid w:val="1AEC0734"/>
    <w:rsid w:val="1CCB5233"/>
    <w:rsid w:val="1DEF20B0"/>
    <w:rsid w:val="214243FA"/>
    <w:rsid w:val="21AD613C"/>
    <w:rsid w:val="236022DD"/>
    <w:rsid w:val="253725D8"/>
    <w:rsid w:val="257A14F5"/>
    <w:rsid w:val="27196C26"/>
    <w:rsid w:val="27700AB6"/>
    <w:rsid w:val="282341B4"/>
    <w:rsid w:val="28925EA7"/>
    <w:rsid w:val="29011E49"/>
    <w:rsid w:val="292731FF"/>
    <w:rsid w:val="295C7AD9"/>
    <w:rsid w:val="29EF086F"/>
    <w:rsid w:val="2A6F213C"/>
    <w:rsid w:val="2AD93548"/>
    <w:rsid w:val="2D0F4682"/>
    <w:rsid w:val="2DE21035"/>
    <w:rsid w:val="2E717E68"/>
    <w:rsid w:val="2EFFE297"/>
    <w:rsid w:val="2F1C0521"/>
    <w:rsid w:val="2F735A23"/>
    <w:rsid w:val="2FCB5D88"/>
    <w:rsid w:val="301437CA"/>
    <w:rsid w:val="30CA205F"/>
    <w:rsid w:val="30E02CB8"/>
    <w:rsid w:val="315145FC"/>
    <w:rsid w:val="332F5CFD"/>
    <w:rsid w:val="339702F2"/>
    <w:rsid w:val="349D1F0A"/>
    <w:rsid w:val="34DD0473"/>
    <w:rsid w:val="37AA546B"/>
    <w:rsid w:val="38191670"/>
    <w:rsid w:val="38955F26"/>
    <w:rsid w:val="396B229F"/>
    <w:rsid w:val="398F0DC0"/>
    <w:rsid w:val="39BB4629"/>
    <w:rsid w:val="3A3071AC"/>
    <w:rsid w:val="3AB10B43"/>
    <w:rsid w:val="3B6F0337"/>
    <w:rsid w:val="3B8D57BF"/>
    <w:rsid w:val="3BB4467A"/>
    <w:rsid w:val="3C684897"/>
    <w:rsid w:val="3C94044D"/>
    <w:rsid w:val="3E26024B"/>
    <w:rsid w:val="3F941ED7"/>
    <w:rsid w:val="3FC409D8"/>
    <w:rsid w:val="40350F5B"/>
    <w:rsid w:val="404C7E1C"/>
    <w:rsid w:val="42D6662F"/>
    <w:rsid w:val="433E495C"/>
    <w:rsid w:val="470562F0"/>
    <w:rsid w:val="473E6C1A"/>
    <w:rsid w:val="489F2FD7"/>
    <w:rsid w:val="497F4A96"/>
    <w:rsid w:val="4AC27CB3"/>
    <w:rsid w:val="4B7F0933"/>
    <w:rsid w:val="4BF72BEF"/>
    <w:rsid w:val="4CBE5A5D"/>
    <w:rsid w:val="4E1D5544"/>
    <w:rsid w:val="4EF03780"/>
    <w:rsid w:val="4F901C0D"/>
    <w:rsid w:val="4FA90297"/>
    <w:rsid w:val="4FC41A43"/>
    <w:rsid w:val="50690CA0"/>
    <w:rsid w:val="518C4C94"/>
    <w:rsid w:val="51DB3C59"/>
    <w:rsid w:val="531D0FD2"/>
    <w:rsid w:val="550C0952"/>
    <w:rsid w:val="55762E42"/>
    <w:rsid w:val="5716507C"/>
    <w:rsid w:val="57A7B272"/>
    <w:rsid w:val="58311114"/>
    <w:rsid w:val="58470068"/>
    <w:rsid w:val="58747CAC"/>
    <w:rsid w:val="599D0E17"/>
    <w:rsid w:val="5A036865"/>
    <w:rsid w:val="5A1720F9"/>
    <w:rsid w:val="5A5D0D99"/>
    <w:rsid w:val="5B9C37C2"/>
    <w:rsid w:val="5BA7C654"/>
    <w:rsid w:val="60A54109"/>
    <w:rsid w:val="613728C8"/>
    <w:rsid w:val="61D01CDF"/>
    <w:rsid w:val="6298698E"/>
    <w:rsid w:val="63645A94"/>
    <w:rsid w:val="64884C94"/>
    <w:rsid w:val="64C0607C"/>
    <w:rsid w:val="65756C86"/>
    <w:rsid w:val="672D0F05"/>
    <w:rsid w:val="674D385B"/>
    <w:rsid w:val="676F09E1"/>
    <w:rsid w:val="67C95CB8"/>
    <w:rsid w:val="686F5E3D"/>
    <w:rsid w:val="68D26952"/>
    <w:rsid w:val="6A273387"/>
    <w:rsid w:val="6A632586"/>
    <w:rsid w:val="6ADD2672"/>
    <w:rsid w:val="6BBD16B1"/>
    <w:rsid w:val="6E8F2A14"/>
    <w:rsid w:val="6ECA2077"/>
    <w:rsid w:val="708702BC"/>
    <w:rsid w:val="70B045BD"/>
    <w:rsid w:val="71ED4EE1"/>
    <w:rsid w:val="731740A1"/>
    <w:rsid w:val="75571E70"/>
    <w:rsid w:val="78CC0986"/>
    <w:rsid w:val="7940201F"/>
    <w:rsid w:val="798524E4"/>
    <w:rsid w:val="7A7F1C49"/>
    <w:rsid w:val="7A7F4751"/>
    <w:rsid w:val="7AD245B2"/>
    <w:rsid w:val="7AED3E42"/>
    <w:rsid w:val="7B5B7AE6"/>
    <w:rsid w:val="7B7B6628"/>
    <w:rsid w:val="7BA7071E"/>
    <w:rsid w:val="7BDF6DA8"/>
    <w:rsid w:val="7C7EDC1A"/>
    <w:rsid w:val="7CCED98D"/>
    <w:rsid w:val="7D08410F"/>
    <w:rsid w:val="7D5124AC"/>
    <w:rsid w:val="7DB96DED"/>
    <w:rsid w:val="7DD3AD81"/>
    <w:rsid w:val="7E0F2735"/>
    <w:rsid w:val="7E871516"/>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ind w:left="420"/>
      <w:jc w:val="left"/>
    </w:pPr>
    <w:rPr>
      <w:rFonts w:cs="Calibri"/>
      <w:i/>
      <w:iCs/>
      <w:sz w:val="20"/>
      <w:szCs w:val="20"/>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29488.64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25576.26</c:v>
                </c:pt>
                <c:pt idx="1">
                  <c:v>3912.38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3819</Words>
  <Characters>6444</Characters>
  <Lines>44</Lines>
  <Paragraphs>12</Paragraphs>
  <TotalTime>11</TotalTime>
  <ScaleCrop>false</ScaleCrop>
  <LinksUpToDate>false</LinksUpToDate>
  <CharactersWithSpaces>6463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计财科</cp:lastModifiedBy>
  <cp:lastPrinted>2020-08-07T11:39:00Z</cp:lastPrinted>
  <dcterms:modified xsi:type="dcterms:W3CDTF">2025-08-27T12:14:07Z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