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2024年度部门决算（公开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2024年度部门决算报表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2024年度部门决算说明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2024年度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2024年度部门绩效评价情况</w:t>
      </w: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2024年度部门决算报表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2024年度部门决算说明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480" w:firstLineChars="150"/>
        <w:rPr>
          <w:rFonts w:ascii="仿宋_GB2312" w:eastAsia="仿宋_GB2312"/>
          <w:kern w:val="0"/>
          <w:sz w:val="28"/>
          <w:szCs w:val="28"/>
        </w:rPr>
      </w:pPr>
      <w:r>
        <w:rPr>
          <w:rFonts w:hint="eastAsia" w:ascii="仿宋_GB2312" w:hAnsi="仿宋_GB2312" w:eastAsia="仿宋_GB2312" w:cs="仿宋_GB2312"/>
          <w:sz w:val="32"/>
          <w:szCs w:val="32"/>
        </w:rPr>
        <w:t>北京市西城区计量检测所主要承担本区计量标准技术保障工作，进行量值传递。执行计量器具强制检定任务和法律规定的其他检定和商品量检测任务，并提供相关技术服务。为实施计量监督提供技术保障。</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2024年度收、</w:t>
      </w:r>
      <w:r>
        <w:rPr>
          <w:rFonts w:ascii="仿宋_GB2312" w:eastAsia="仿宋_GB2312"/>
          <w:sz w:val="28"/>
          <w:szCs w:val="28"/>
        </w:rPr>
        <w:t>支</w:t>
      </w:r>
      <w:r>
        <w:rPr>
          <w:rFonts w:hint="eastAsia" w:ascii="仿宋_GB2312" w:eastAsia="仿宋_GB2312"/>
          <w:sz w:val="28"/>
          <w:szCs w:val="28"/>
        </w:rPr>
        <w:t>总</w:t>
      </w:r>
      <w:r>
        <w:rPr>
          <w:rFonts w:hint="eastAsia" w:ascii="仿宋_GB2312" w:eastAsia="仿宋_GB2312"/>
          <w:sz w:val="28"/>
          <w:szCs w:val="28"/>
          <w:highlight w:val="none"/>
        </w:rPr>
        <w:t>计</w:t>
      </w:r>
      <w:r>
        <w:rPr>
          <w:rFonts w:ascii="仿宋_GB2312" w:eastAsia="仿宋_GB2312"/>
          <w:sz w:val="28"/>
          <w:szCs w:val="28"/>
          <w:highlight w:val="none"/>
        </w:rPr>
        <w:t>1661.89</w:t>
      </w:r>
      <w:r>
        <w:rPr>
          <w:rFonts w:hint="eastAsia" w:ascii="仿宋_GB2312" w:eastAsia="仿宋_GB2312"/>
          <w:sz w:val="28"/>
          <w:szCs w:val="28"/>
          <w:highlight w:val="none"/>
        </w:rPr>
        <w:t>万</w:t>
      </w:r>
      <w:r>
        <w:rPr>
          <w:rFonts w:hint="eastAsia" w:ascii="仿宋_GB2312" w:eastAsia="仿宋_GB2312"/>
          <w:sz w:val="28"/>
          <w:szCs w:val="28"/>
        </w:rPr>
        <w:t>元，</w:t>
      </w:r>
      <w:r>
        <w:rPr>
          <w:rFonts w:ascii="仿宋_GB2312" w:eastAsia="仿宋_GB2312"/>
          <w:sz w:val="28"/>
          <w:szCs w:val="28"/>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96.71</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5.5</w:t>
      </w:r>
      <w:r>
        <w:rPr>
          <w:rFonts w:hint="eastAsia" w:ascii="仿宋_GB2312" w:eastAsia="仿宋_GB2312"/>
          <w:sz w:val="28"/>
          <w:szCs w:val="28"/>
          <w:highlight w:val="none"/>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2024年度本年收入合计</w:t>
      </w:r>
      <w:r>
        <w:rPr>
          <w:rFonts w:ascii="仿宋_GB2312" w:eastAsia="仿宋_GB2312"/>
          <w:sz w:val="28"/>
          <w:szCs w:val="28"/>
        </w:rPr>
        <w:t>1661.89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减少54.71万元，下降3.19%。</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1.财政拨款收入</w:t>
      </w:r>
      <w:r>
        <w:rPr>
          <w:rFonts w:ascii="仿宋_GB2312" w:eastAsia="仿宋_GB2312"/>
          <w:sz w:val="28"/>
          <w:szCs w:val="28"/>
        </w:rPr>
        <w:t>1661.89</w:t>
      </w:r>
      <w:r>
        <w:rPr>
          <w:rFonts w:hint="eastAsia" w:ascii="仿宋_GB2312" w:eastAsia="仿宋_GB2312"/>
          <w:sz w:val="28"/>
          <w:szCs w:val="28"/>
        </w:rPr>
        <w:t>万元，占收入合计的100%。其中：一般公共预算财政拨款收入</w:t>
      </w:r>
      <w:r>
        <w:rPr>
          <w:rFonts w:ascii="仿宋_GB2312" w:eastAsia="仿宋_GB2312"/>
          <w:sz w:val="28"/>
          <w:szCs w:val="28"/>
        </w:rPr>
        <w:t>1661.89</w:t>
      </w:r>
      <w:r>
        <w:rPr>
          <w:rFonts w:hint="eastAsia" w:ascii="仿宋_GB2312" w:eastAsia="仿宋_GB2312"/>
          <w:sz w:val="28"/>
          <w:szCs w:val="28"/>
        </w:rPr>
        <w:t>万元，占收入合计的100%；政府性基金预算财政拨款收入</w:t>
      </w:r>
      <w:r>
        <w:rPr>
          <w:rFonts w:ascii="仿宋_GB2312" w:eastAsia="仿宋_GB2312"/>
          <w:sz w:val="28"/>
          <w:szCs w:val="28"/>
        </w:rPr>
        <w:t>0</w:t>
      </w:r>
      <w:r>
        <w:rPr>
          <w:rFonts w:hint="eastAsia" w:ascii="仿宋_GB2312" w:eastAsia="仿宋_GB2312"/>
          <w:sz w:val="28"/>
          <w:szCs w:val="28"/>
        </w:rPr>
        <w:t>万元，占收入合计的0%；国有资本经营预算财政拨款收入</w:t>
      </w:r>
      <w:r>
        <w:rPr>
          <w:rFonts w:ascii="仿宋_GB2312" w:eastAsia="仿宋_GB2312"/>
          <w:sz w:val="28"/>
          <w:szCs w:val="28"/>
        </w:rPr>
        <w:t>0</w:t>
      </w:r>
      <w:r>
        <w:rPr>
          <w:rFonts w:hint="eastAsia" w:ascii="仿宋_GB2312" w:eastAsia="仿宋_GB2312"/>
          <w:sz w:val="28"/>
          <w:szCs w:val="28"/>
        </w:rPr>
        <w:t>万元，占收入合计的0%；</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万元，占收入合计的0%；</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万元，占收入合计的0%；</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万元，占收入合计的0%；</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万元，占收入合计的0%；</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万元，占收入合计的0%。</w:t>
      </w:r>
    </w:p>
    <w:p>
      <w:pPr>
        <w:pStyle w:val="2"/>
        <w:jc w:val="center"/>
      </w:pPr>
      <w:r>
        <w:rPr>
          <w:rFonts w:hint="eastAsia" w:ascii="仿宋_GB2312" w:eastAsia="仿宋_GB2312"/>
          <w:color w:val="000000"/>
          <w:sz w:val="32"/>
        </w:rPr>
        <w:t>图1：收入决算</w:t>
      </w:r>
    </w:p>
    <w:p>
      <w:pPr>
        <w:pStyle w:val="3"/>
        <w:ind w:firstLine="420"/>
        <w:jc w:val="center"/>
      </w:pPr>
      <w:r>
        <w:drawing>
          <wp:inline distT="0" distB="0" distL="0" distR="0">
            <wp:extent cx="4036695" cy="2328545"/>
            <wp:effectExtent l="0" t="0"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2024年度本年支出合计</w:t>
      </w:r>
      <w:r>
        <w:rPr>
          <w:rFonts w:ascii="仿宋_GB2312" w:eastAsia="仿宋_GB2312"/>
          <w:sz w:val="28"/>
          <w:szCs w:val="28"/>
        </w:rPr>
        <w:t>1661.89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highlight w:val="none"/>
        </w:rPr>
        <w:t>减少54.43万元，下</w:t>
      </w:r>
      <w:r>
        <w:rPr>
          <w:rFonts w:hint="eastAsia" w:ascii="仿宋_GB2312" w:eastAsia="仿宋_GB2312"/>
          <w:sz w:val="28"/>
          <w:szCs w:val="28"/>
        </w:rPr>
        <w:t>降3.17%，其中：基本支出</w:t>
      </w:r>
      <w:r>
        <w:rPr>
          <w:rFonts w:ascii="仿宋_GB2312" w:eastAsia="仿宋_GB2312"/>
          <w:sz w:val="28"/>
          <w:szCs w:val="28"/>
        </w:rPr>
        <w:t>1589.82</w:t>
      </w:r>
      <w:r>
        <w:rPr>
          <w:rFonts w:hint="eastAsia" w:ascii="仿宋_GB2312" w:eastAsia="仿宋_GB2312"/>
          <w:sz w:val="28"/>
          <w:szCs w:val="28"/>
        </w:rPr>
        <w:t>万元，占支出合计的95.66%；项目支出</w:t>
      </w:r>
      <w:r>
        <w:rPr>
          <w:rFonts w:ascii="仿宋_GB2312" w:eastAsia="仿宋_GB2312"/>
          <w:sz w:val="28"/>
          <w:szCs w:val="28"/>
        </w:rPr>
        <w:t>72.07</w:t>
      </w:r>
      <w:r>
        <w:rPr>
          <w:rFonts w:hint="eastAsia" w:ascii="仿宋_GB2312" w:eastAsia="仿宋_GB2312"/>
          <w:sz w:val="28"/>
          <w:szCs w:val="28"/>
        </w:rPr>
        <w:t>万元，占支出合计的4.34%;上缴上级支出</w:t>
      </w:r>
      <w:r>
        <w:rPr>
          <w:rFonts w:ascii="仿宋_GB2312" w:eastAsia="仿宋_GB2312"/>
          <w:sz w:val="28"/>
          <w:szCs w:val="28"/>
        </w:rPr>
        <w:t>0</w:t>
      </w:r>
      <w:r>
        <w:rPr>
          <w:rFonts w:hint="eastAsia" w:ascii="仿宋_GB2312" w:eastAsia="仿宋_GB2312"/>
          <w:sz w:val="28"/>
          <w:szCs w:val="28"/>
        </w:rPr>
        <w:t>万元，占支出合计的0%；经营支出</w:t>
      </w:r>
      <w:r>
        <w:rPr>
          <w:rFonts w:ascii="仿宋_GB2312" w:eastAsia="仿宋_GB2312"/>
          <w:sz w:val="28"/>
          <w:szCs w:val="28"/>
        </w:rPr>
        <w:t>0</w:t>
      </w:r>
      <w:r>
        <w:rPr>
          <w:rFonts w:hint="eastAsia" w:ascii="仿宋_GB2312" w:eastAsia="仿宋_GB2312"/>
          <w:sz w:val="28"/>
          <w:szCs w:val="28"/>
        </w:rPr>
        <w:t>万元，占支出合计的0%；对附属单位补助支出</w:t>
      </w:r>
      <w:r>
        <w:rPr>
          <w:rFonts w:ascii="仿宋_GB2312" w:eastAsia="仿宋_GB2312"/>
          <w:sz w:val="28"/>
          <w:szCs w:val="28"/>
        </w:rPr>
        <w:t>0</w:t>
      </w:r>
      <w:r>
        <w:rPr>
          <w:rFonts w:hint="eastAsia" w:ascii="仿宋_GB2312" w:eastAsia="仿宋_GB2312"/>
          <w:sz w:val="28"/>
          <w:szCs w:val="28"/>
        </w:rPr>
        <w:t>万元，占支出合计的0%。</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1661.89</w:t>
      </w:r>
      <w:r>
        <w:rPr>
          <w:rFonts w:hint="eastAsia" w:ascii="仿宋_GB2312" w:eastAsia="仿宋_GB2312"/>
          <w:sz w:val="28"/>
          <w:szCs w:val="28"/>
        </w:rPr>
        <w:t>万元，比上年</w:t>
      </w:r>
      <w:r>
        <w:rPr>
          <w:rFonts w:hint="eastAsia" w:ascii="仿宋_GB2312" w:eastAsia="仿宋_GB2312"/>
          <w:sz w:val="28"/>
          <w:szCs w:val="28"/>
          <w:highlight w:val="none"/>
        </w:rPr>
        <w:t>减少54.32万元，</w:t>
      </w:r>
      <w:r>
        <w:rPr>
          <w:rFonts w:hint="eastAsia" w:ascii="仿宋_GB2312" w:eastAsia="仿宋_GB2312"/>
          <w:sz w:val="28"/>
          <w:szCs w:val="28"/>
        </w:rPr>
        <w:t>下降3.17%。主要原因：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2024年度一般公共预算财政拨款支出</w:t>
      </w:r>
      <w:r>
        <w:rPr>
          <w:rFonts w:ascii="仿宋_GB2312" w:eastAsia="仿宋_GB2312"/>
          <w:sz w:val="28"/>
          <w:szCs w:val="28"/>
        </w:rPr>
        <w:t>1661.89</w:t>
      </w:r>
      <w:r>
        <w:rPr>
          <w:rFonts w:hint="eastAsia" w:ascii="仿宋_GB2312" w:eastAsia="仿宋_GB2312"/>
          <w:sz w:val="28"/>
          <w:szCs w:val="28"/>
        </w:rPr>
        <w:t>万元，主要用于以下方面（按大类）：一般公共服务支出1034.47万元，占本年财政拨款支出62.25%；社会保障和就业支出274.52万元，占本年财政拨款支出16.52%；卫生健康支出117.53万元，占本年财政拨款支出7.07%；住房保障支出235.37万元，占本年财政拨款支出14.16%。</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2024年度年初预算1125.01万元，2024年度决算1034.47万元，完成年初预算的91.95%。其中：“市场监督管理事务”（款，下同）2024年度年初预算1125.01万元，2024年度决算1034.47万元，完成年初预算的91.95%。</w:t>
      </w:r>
      <w:r>
        <w:rPr>
          <w:rFonts w:hint="eastAsia" w:ascii="仿宋_GB2312" w:eastAsia="仿宋_GB2312"/>
          <w:sz w:val="28"/>
          <w:szCs w:val="28"/>
          <w:highlight w:val="none"/>
        </w:rPr>
        <w:t>主要原因：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、“社</w:t>
      </w:r>
      <w:r>
        <w:rPr>
          <w:rFonts w:hint="eastAsia" w:ascii="仿宋_GB2312" w:eastAsia="仿宋_GB2312"/>
          <w:sz w:val="28"/>
          <w:szCs w:val="28"/>
        </w:rPr>
        <w:t>会保障和就业”(类)2024年度年初预</w:t>
      </w:r>
      <w:r>
        <w:rPr>
          <w:rFonts w:hint="eastAsia" w:ascii="仿宋_GB2312" w:eastAsia="仿宋_GB2312"/>
          <w:sz w:val="28"/>
          <w:szCs w:val="28"/>
          <w:highlight w:val="none"/>
        </w:rPr>
        <w:t>算256.28万元，2024年度决算274.52万元，完成年初预算的107.12%。其中：“行政事业单位养老支出”（款）2024年度年初预算256.28万元，2024年度决算274.52万元，完成年初预算的107.12%。主要原因：</w:t>
      </w:r>
      <w:r>
        <w:rPr>
          <w:rFonts w:hint="eastAsia" w:ascii="仿宋_GB2312" w:eastAsia="仿宋_GB2312" w:cs="Times New Roman"/>
          <w:i w:val="0"/>
          <w:iCs w:val="0"/>
          <w:kern w:val="2"/>
          <w:sz w:val="28"/>
          <w:szCs w:val="28"/>
          <w:highlight w:val="none"/>
          <w:lang w:val="en-US" w:eastAsia="zh-CN" w:bidi="ar-SA"/>
        </w:rPr>
        <w:t>本年度增加新入职人员</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b w:val="0"/>
          <w:bCs w:val="0"/>
          <w:sz w:val="28"/>
          <w:szCs w:val="28"/>
          <w:highlight w:val="none"/>
          <w:lang w:val="en-US" w:eastAsia="zh-CN"/>
        </w:rPr>
        <w:t>3</w:t>
      </w:r>
      <w:r>
        <w:rPr>
          <w:rFonts w:hint="eastAsia" w:ascii="仿宋_GB2312" w:eastAsia="仿宋_GB2312"/>
          <w:b w:val="0"/>
          <w:bCs w:val="0"/>
          <w:sz w:val="28"/>
          <w:szCs w:val="28"/>
          <w:highlight w:val="none"/>
        </w:rPr>
        <w:t>、</w:t>
      </w:r>
      <w:r>
        <w:rPr>
          <w:rFonts w:hint="eastAsia" w:ascii="仿宋_GB2312" w:eastAsia="仿宋_GB2312"/>
          <w:sz w:val="28"/>
          <w:szCs w:val="28"/>
          <w:highlight w:val="none"/>
        </w:rPr>
        <w:t>“</w:t>
      </w:r>
      <w:r>
        <w:rPr>
          <w:rFonts w:hint="eastAsia" w:ascii="仿宋_GB2312" w:eastAsia="仿宋_GB2312"/>
          <w:sz w:val="28"/>
          <w:szCs w:val="28"/>
        </w:rPr>
        <w:t>卫生健康支出”(类)2024年度年初预算108.42万元，2024年度决算117.53万元，完成年初预算的108.40%。其中：“行政事业单位医疗”（款）2024年度年初预算108.42万元，2024年度决算117.53万元，完成年初预算的108.40%。主要</w:t>
      </w:r>
      <w:r>
        <w:rPr>
          <w:rFonts w:hint="eastAsia" w:ascii="仿宋_GB2312" w:eastAsia="仿宋_GB2312"/>
          <w:sz w:val="28"/>
          <w:szCs w:val="28"/>
          <w:highlight w:val="none"/>
        </w:rPr>
        <w:t>原因：</w:t>
      </w:r>
      <w:r>
        <w:rPr>
          <w:rFonts w:hint="eastAsia" w:ascii="仿宋_GB2312" w:eastAsia="仿宋_GB2312" w:cs="Times New Roman"/>
          <w:i w:val="0"/>
          <w:iCs w:val="0"/>
          <w:kern w:val="2"/>
          <w:sz w:val="28"/>
          <w:szCs w:val="28"/>
          <w:highlight w:val="none"/>
          <w:lang w:val="en-US" w:eastAsia="zh-CN" w:bidi="ar-SA"/>
        </w:rPr>
        <w:t>本年度增加新入职人员</w:t>
      </w:r>
      <w:r>
        <w:rPr>
          <w:rFonts w:hint="eastAsia" w:ascii="仿宋_GB2312" w:eastAsia="仿宋_GB2312"/>
          <w:sz w:val="28"/>
          <w:szCs w:val="28"/>
          <w:highlight w:val="none"/>
        </w:rPr>
        <w:t>。</w:t>
      </w:r>
    </w:p>
    <w:p>
      <w:pPr>
        <w:autoSpaceDE w:val="0"/>
        <w:autoSpaceDN w:val="0"/>
        <w:adjustRightInd w:val="0"/>
        <w:spacing w:line="580" w:lineRule="exact"/>
        <w:ind w:firstLine="420" w:firstLineChars="200"/>
        <w:jc w:val="left"/>
        <w:rPr>
          <w:rFonts w:ascii="仿宋_GB2312" w:eastAsia="仿宋_GB2312"/>
          <w:b/>
          <w:bCs/>
          <w:sz w:val="28"/>
          <w:szCs w:val="28"/>
          <w:highlight w:val="none"/>
        </w:rPr>
      </w:pPr>
      <w:r>
        <w:rPr>
          <w:rFonts w:hint="eastAsia"/>
          <w:highlight w:val="none"/>
        </w:rPr>
        <w:t xml:space="preserve">  </w:t>
      </w:r>
      <w:r>
        <w:rPr>
          <w:rFonts w:hint="eastAsia" w:ascii="仿宋_GB2312" w:eastAsia="仿宋_GB2312"/>
          <w:b w:val="0"/>
          <w:bCs w:val="0"/>
          <w:sz w:val="28"/>
          <w:szCs w:val="28"/>
          <w:highlight w:val="none"/>
          <w:lang w:val="en-US" w:eastAsia="zh-CN"/>
        </w:rPr>
        <w:t>4</w:t>
      </w:r>
      <w:r>
        <w:rPr>
          <w:rFonts w:hint="eastAsia" w:ascii="仿宋_GB2312" w:eastAsia="仿宋_GB2312"/>
          <w:b w:val="0"/>
          <w:bCs w:val="0"/>
          <w:sz w:val="28"/>
          <w:szCs w:val="28"/>
          <w:highlight w:val="none"/>
        </w:rPr>
        <w:t>、</w:t>
      </w:r>
      <w:r>
        <w:rPr>
          <w:rFonts w:hint="eastAsia" w:ascii="仿宋_GB2312" w:eastAsia="仿宋_GB2312"/>
          <w:sz w:val="28"/>
          <w:szCs w:val="28"/>
          <w:highlight w:val="none"/>
        </w:rPr>
        <w:t>“</w:t>
      </w:r>
      <w:r>
        <w:rPr>
          <w:rFonts w:hint="eastAsia" w:ascii="仿宋_GB2312" w:eastAsia="仿宋_GB2312"/>
          <w:sz w:val="28"/>
          <w:szCs w:val="28"/>
        </w:rPr>
        <w:t>住房保障支出”(类)2024年度年初预算226.37万元，2024年度决算235.37万元，完成年初预算的103.98%。其中：“住房改革支出”（款）2024年度年初预算226.37万元，2024年度决算235.37万元，完成年初预算的103.98%</w:t>
      </w:r>
      <w:r>
        <w:rPr>
          <w:rFonts w:hint="eastAsia" w:ascii="仿宋_GB2312" w:eastAsia="仿宋_GB2312"/>
          <w:sz w:val="28"/>
          <w:szCs w:val="28"/>
          <w:highlight w:val="none"/>
        </w:rPr>
        <w:t>。主要原因：</w:t>
      </w:r>
      <w:r>
        <w:rPr>
          <w:rFonts w:hint="eastAsia" w:ascii="仿宋_GB2312" w:eastAsia="仿宋_GB2312" w:cs="Times New Roman"/>
          <w:i w:val="0"/>
          <w:iCs w:val="0"/>
          <w:kern w:val="2"/>
          <w:sz w:val="28"/>
          <w:szCs w:val="28"/>
          <w:highlight w:val="none"/>
          <w:lang w:val="en-US" w:eastAsia="zh-CN" w:bidi="ar-SA"/>
        </w:rPr>
        <w:t>本年度增加新入职人员</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2024年度政府性基金预算财政拨款支出</w:t>
      </w:r>
      <w:r>
        <w:rPr>
          <w:rFonts w:ascii="仿宋_GB2312" w:eastAsia="仿宋_GB2312"/>
          <w:sz w:val="28"/>
          <w:szCs w:val="28"/>
        </w:rPr>
        <w:t>0</w:t>
      </w:r>
      <w:r>
        <w:rPr>
          <w:rFonts w:hint="eastAsia" w:ascii="仿宋_GB2312" w:eastAsia="仿宋_GB2312"/>
          <w:sz w:val="28"/>
          <w:szCs w:val="28"/>
        </w:rPr>
        <w:t>万元。</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2024年度国有资本经营预算财政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2024年度使用一般公共预算财政拨款安排基本支出</w:t>
      </w:r>
      <w:r>
        <w:rPr>
          <w:rFonts w:ascii="仿宋_GB2312" w:eastAsia="仿宋_GB2312"/>
          <w:sz w:val="28"/>
          <w:szCs w:val="28"/>
        </w:rPr>
        <w:t>1589.82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w:t>
      </w:r>
      <w:bookmarkStart w:id="0" w:name="_GoBack"/>
      <w:bookmarkEnd w:id="0"/>
      <w:r>
        <w:rPr>
          <w:rFonts w:ascii="仿宋_GB2312" w:eastAsia="仿宋_GB2312"/>
          <w:sz w:val="28"/>
          <w:szCs w:val="28"/>
        </w:rPr>
        <w:t>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rPr>
          <w:rFonts w:ascii="宋体" w:hAnsi="宋体"/>
          <w:b/>
          <w:spacing w:val="40"/>
          <w:sz w:val="32"/>
          <w:szCs w:val="32"/>
        </w:rPr>
      </w:pP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2024年度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2024年度“三公”经费财政拨款决算数</w:t>
      </w:r>
      <w:r>
        <w:rPr>
          <w:rFonts w:ascii="仿宋_GB2312" w:eastAsia="仿宋_GB2312"/>
          <w:sz w:val="28"/>
          <w:szCs w:val="28"/>
        </w:rPr>
        <w:t>0</w:t>
      </w:r>
      <w:r>
        <w:rPr>
          <w:rFonts w:hint="eastAsia" w:ascii="仿宋_GB2312" w:eastAsia="仿宋_GB2312"/>
          <w:sz w:val="28"/>
          <w:szCs w:val="28"/>
        </w:rPr>
        <w:t>万元，2024年度“三公”经费财政拨款年初预算</w:t>
      </w:r>
      <w:r>
        <w:rPr>
          <w:rFonts w:ascii="仿宋_GB2312" w:eastAsia="仿宋_GB2312"/>
          <w:sz w:val="28"/>
          <w:szCs w:val="28"/>
        </w:rPr>
        <w:t>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1.因公出国（境）费用。2024年度决算数</w:t>
      </w:r>
      <w:r>
        <w:rPr>
          <w:rFonts w:ascii="仿宋_GB2312" w:eastAsia="仿宋_GB2312"/>
          <w:sz w:val="28"/>
          <w:szCs w:val="28"/>
        </w:rPr>
        <w:t>0</w:t>
      </w:r>
      <w:r>
        <w:rPr>
          <w:rFonts w:hint="eastAsia" w:ascii="仿宋_GB2312" w:eastAsia="仿宋_GB2312"/>
          <w:sz w:val="28"/>
          <w:szCs w:val="28"/>
        </w:rPr>
        <w:t>万元， 2024年度年初预算数</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2.公务接待费。2024年度决算数</w:t>
      </w:r>
      <w:r>
        <w:rPr>
          <w:rFonts w:ascii="仿宋_GB2312" w:eastAsia="仿宋_GB2312"/>
          <w:sz w:val="28"/>
          <w:szCs w:val="28"/>
        </w:rPr>
        <w:t>0</w:t>
      </w:r>
      <w:r>
        <w:rPr>
          <w:rFonts w:hint="eastAsia" w:ascii="仿宋_GB2312" w:eastAsia="仿宋_GB2312"/>
          <w:sz w:val="28"/>
          <w:szCs w:val="28"/>
        </w:rPr>
        <w:t>万元，2024年度年初预算数</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3.公务用车购置及运行维护费。2024年度决算数</w:t>
      </w:r>
      <w:r>
        <w:rPr>
          <w:rFonts w:ascii="仿宋_GB2312" w:eastAsia="仿宋_GB2312"/>
          <w:sz w:val="28"/>
          <w:szCs w:val="28"/>
        </w:rPr>
        <w:t>0</w:t>
      </w:r>
      <w:r>
        <w:rPr>
          <w:rFonts w:hint="eastAsia" w:ascii="仿宋_GB2312" w:eastAsia="仿宋_GB2312"/>
          <w:sz w:val="28"/>
          <w:szCs w:val="28"/>
        </w:rPr>
        <w:t>万元，2024年度年初预算数</w:t>
      </w:r>
      <w:r>
        <w:rPr>
          <w:rFonts w:ascii="仿宋_GB2312" w:eastAsia="仿宋_GB2312"/>
          <w:sz w:val="28"/>
          <w:szCs w:val="28"/>
        </w:rPr>
        <w:t>0</w:t>
      </w:r>
      <w:r>
        <w:rPr>
          <w:rFonts w:hint="eastAsia" w:ascii="仿宋_GB2312" w:eastAsia="仿宋_GB2312"/>
          <w:sz w:val="28"/>
          <w:szCs w:val="28"/>
        </w:rPr>
        <w:t>万元。2024年度公务用车保有量</w:t>
      </w:r>
      <w:r>
        <w:rPr>
          <w:rFonts w:ascii="仿宋_GB2312" w:eastAsia="仿宋_GB2312"/>
          <w:sz w:val="28"/>
          <w:szCs w:val="28"/>
        </w:rPr>
        <w:t>0</w:t>
      </w:r>
      <w:r>
        <w:rPr>
          <w:rFonts w:hint="eastAsia" w:ascii="仿宋_GB2312" w:eastAsia="仿宋_GB2312"/>
          <w:sz w:val="28"/>
          <w:szCs w:val="28"/>
        </w:rPr>
        <w:t>辆。</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2024年度机关运行经费支出合计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2024年度政府采购支出总额</w:t>
      </w:r>
      <w:r>
        <w:rPr>
          <w:rFonts w:ascii="仿宋_GB2312" w:eastAsia="仿宋_GB2312"/>
          <w:sz w:val="28"/>
          <w:szCs w:val="28"/>
        </w:rPr>
        <w:t>0.59</w:t>
      </w:r>
      <w:r>
        <w:rPr>
          <w:rFonts w:hint="eastAsia" w:ascii="仿宋_GB2312" w:eastAsia="仿宋_GB2312"/>
          <w:sz w:val="28"/>
          <w:szCs w:val="28"/>
        </w:rPr>
        <w:t>万元，其中：政府采购货物支出</w:t>
      </w:r>
      <w:r>
        <w:rPr>
          <w:rFonts w:ascii="仿宋_GB2312" w:eastAsia="仿宋_GB2312"/>
          <w:sz w:val="28"/>
          <w:szCs w:val="28"/>
        </w:rPr>
        <w:t>0.59</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rPr>
        <w:t>0.59</w:t>
      </w:r>
      <w:r>
        <w:rPr>
          <w:rFonts w:hint="eastAsia" w:ascii="仿宋_GB2312" w:eastAsia="仿宋_GB2312"/>
          <w:sz w:val="28"/>
          <w:szCs w:val="28"/>
        </w:rPr>
        <w:t>万元，占政府采购支出总额的100%，其中：授予小微企业合同金额</w:t>
      </w:r>
      <w:r>
        <w:rPr>
          <w:rFonts w:ascii="仿宋_GB2312" w:eastAsia="仿宋_GB2312"/>
          <w:sz w:val="28"/>
          <w:szCs w:val="28"/>
        </w:rPr>
        <w:t>0.59</w:t>
      </w:r>
      <w:r>
        <w:rPr>
          <w:rFonts w:hint="eastAsia" w:ascii="仿宋_GB2312" w:eastAsia="仿宋_GB2312"/>
          <w:sz w:val="28"/>
          <w:szCs w:val="28"/>
        </w:rPr>
        <w:t>万元，占政府采购支出总额的</w:t>
      </w:r>
      <w:r>
        <w:rPr>
          <w:rFonts w:ascii="仿宋_GB2312" w:eastAsia="仿宋_GB2312"/>
          <w:sz w:val="28"/>
          <w:szCs w:val="28"/>
        </w:rPr>
        <w:t>100</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截至12月31日，北京市西城区计量检测所共有车辆0台；单位价值100万元（含）以上的设备0台（套）。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2024年度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420" w:firstLineChars="15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pStyle w:val="2"/>
        <w:rPr>
          <w:rFonts w:hint="eastAsia"/>
        </w:rPr>
      </w:pPr>
    </w:p>
    <w:p>
      <w:pPr>
        <w:keepNext/>
        <w:keepLines/>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一般公共服务支出（类）市场监督管理事务（款）事业运行（项）：反映事业单位的基本支出，不包括行政单位（包括试行公务员管理的事业单位）后勤服务中心等附属事业单位。</w:t>
      </w:r>
    </w:p>
    <w:p>
      <w:pPr>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一般公共服务支出（类）市场监督管理事务（款）其他市场监督管理局事务（项）：反映用于除上述项目以外其他市场监督管理事务方面的支出。</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社会保障和就业支出（类）行政事业单位养老支出（款）事业单位离退休（项）：反映事业单位开支的离退休经费。</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社会保障和就业支出（类）行政事业单位养老支出（款）机关事业单位基本养老保险缴费支出（项）：反应机关事业单位实施养老保险制度由单位缴纳的基本养老保险支出。</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社会保障和就业支出（类）行政事业单位养老支出（款）机关事业单位职业年金缴费支出（项）：反映机关事业单位实施养老保险制度由单位实际缴纳的职业年金支出。</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卫生健康支出（类）行政事业单位医疗（款）事业单位医疗（项）：反映财政部门安排的事业单位基本医疗保险缴费经费。</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住房保障支出（类）住房改革支出（款）住房公积金（项）：反映行政事业单位按人力资源和社会保障部、财政部规定的基本工资和津贴补贴以及规定比例为职工缴纳的住房公积金。</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住房保障支出（类）住房改革支出（款）购房补贴（项）：反映按房改政策规定，行政事业单位向符合条件职工发放的用于购买住房的补贴。</w:t>
      </w:r>
    </w:p>
    <w:p>
      <w:pPr>
        <w:keepNext/>
        <w:keepLines/>
        <w:pageBreakBefore w:val="0"/>
        <w:widowControl w:val="0"/>
        <w:kinsoku/>
        <w:wordWrap/>
        <w:overflowPunct/>
        <w:topLinePunct w:val="0"/>
        <w:autoSpaceDE/>
        <w:autoSpaceDN/>
        <w:bidi w:val="0"/>
        <w:adjustRightInd/>
        <w:snapToGrid/>
        <w:spacing w:before="0" w:beforeAutospacing="0" w:after="0" w:afterAutospacing="0" w:line="240" w:lineRule="auto"/>
        <w:ind w:firstLine="420" w:firstLineChars="150"/>
        <w:textAlignment w:val="auto"/>
        <w:outlineLvl w:val="9"/>
        <w:rPr>
          <w:rFonts w:ascii="黑体" w:eastAsia="黑体"/>
          <w:sz w:val="32"/>
          <w:szCs w:val="32"/>
        </w:rPr>
      </w:pPr>
      <w:r>
        <w:rPr>
          <w:rFonts w:hint="eastAsia" w:ascii="仿宋_GB2312" w:hAnsi="Times New Roman" w:eastAsia="仿宋_GB2312" w:cs="Times New Roman"/>
          <w:b w:val="0"/>
          <w:bCs w:val="0"/>
          <w:kern w:val="2"/>
          <w:sz w:val="28"/>
          <w:szCs w:val="28"/>
          <w:lang w:val="en-US" w:eastAsia="zh-CN" w:bidi="ar-SA"/>
        </w:rPr>
        <w:t>住房保障支出（类）住房改革支出（款）提租补贴（项）：反映按房改政策规定的标准，行政事业单位向职工发放的租金补贴。</w:t>
      </w: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第四部分  2024年度部门绩效评价情况</w:t>
      </w:r>
    </w:p>
    <w:p>
      <w:pPr>
        <w:numPr>
          <w:ilvl w:val="0"/>
          <w:numId w:val="0"/>
        </w:numPr>
        <w:ind w:firstLine="840" w:firstLineChars="300"/>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0F5C2"/>
    <w:multiLevelType w:val="singleLevel"/>
    <w:tmpl w:val="75A0F5C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mNWE4NzRhMTczNjJlZDE5ZTE5YTczN2QxMzcyMjAifQ=="/>
  </w:docVars>
  <w:rsids>
    <w:rsidRoot w:val="00100246"/>
    <w:rsid w:val="00003B03"/>
    <w:rsid w:val="000040E6"/>
    <w:rsid w:val="00005ACF"/>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6ED4"/>
    <w:rsid w:val="001D78D9"/>
    <w:rsid w:val="001E0556"/>
    <w:rsid w:val="001E2355"/>
    <w:rsid w:val="001E2379"/>
    <w:rsid w:val="001E29A9"/>
    <w:rsid w:val="001E2CB3"/>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176"/>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C6B19"/>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E7650"/>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0EEF"/>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0C4E"/>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453C7"/>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C7887"/>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4A96"/>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0F0802"/>
    <w:rsid w:val="04C3537C"/>
    <w:rsid w:val="06D656C6"/>
    <w:rsid w:val="079004AC"/>
    <w:rsid w:val="0BA148CA"/>
    <w:rsid w:val="0BC27BD9"/>
    <w:rsid w:val="0C1165C4"/>
    <w:rsid w:val="0D6D544B"/>
    <w:rsid w:val="0DCE2ACA"/>
    <w:rsid w:val="0DD136FE"/>
    <w:rsid w:val="0F8E2C57"/>
    <w:rsid w:val="1059665E"/>
    <w:rsid w:val="10AC13BA"/>
    <w:rsid w:val="145A6C1B"/>
    <w:rsid w:val="145E01E9"/>
    <w:rsid w:val="14B73493"/>
    <w:rsid w:val="15C74068"/>
    <w:rsid w:val="167A2FF9"/>
    <w:rsid w:val="16B761FE"/>
    <w:rsid w:val="17A607A3"/>
    <w:rsid w:val="18581C69"/>
    <w:rsid w:val="199B05B0"/>
    <w:rsid w:val="1AEC0734"/>
    <w:rsid w:val="1CAE7743"/>
    <w:rsid w:val="1CE0440C"/>
    <w:rsid w:val="1DEF20B0"/>
    <w:rsid w:val="214243FA"/>
    <w:rsid w:val="219D0C17"/>
    <w:rsid w:val="21AD613C"/>
    <w:rsid w:val="22467189"/>
    <w:rsid w:val="243B2174"/>
    <w:rsid w:val="24CE54DB"/>
    <w:rsid w:val="257A14F5"/>
    <w:rsid w:val="27196C26"/>
    <w:rsid w:val="29EF086F"/>
    <w:rsid w:val="2B736AFB"/>
    <w:rsid w:val="2EFFE297"/>
    <w:rsid w:val="2F455965"/>
    <w:rsid w:val="301437CA"/>
    <w:rsid w:val="31EA691B"/>
    <w:rsid w:val="349D1F0A"/>
    <w:rsid w:val="34DD0473"/>
    <w:rsid w:val="39E722AF"/>
    <w:rsid w:val="3A756223"/>
    <w:rsid w:val="3C684897"/>
    <w:rsid w:val="42043AF6"/>
    <w:rsid w:val="433E495C"/>
    <w:rsid w:val="442A7A5D"/>
    <w:rsid w:val="446D3996"/>
    <w:rsid w:val="44C66EF0"/>
    <w:rsid w:val="489F2FD7"/>
    <w:rsid w:val="4A793851"/>
    <w:rsid w:val="4AC27CB3"/>
    <w:rsid w:val="4B292406"/>
    <w:rsid w:val="4BF72BEF"/>
    <w:rsid w:val="4FA90297"/>
    <w:rsid w:val="4FC41A43"/>
    <w:rsid w:val="4FE633D8"/>
    <w:rsid w:val="51DB3C59"/>
    <w:rsid w:val="550C0952"/>
    <w:rsid w:val="55762E42"/>
    <w:rsid w:val="57A7B272"/>
    <w:rsid w:val="58470068"/>
    <w:rsid w:val="58747CAC"/>
    <w:rsid w:val="5A1720F9"/>
    <w:rsid w:val="5B9C37C2"/>
    <w:rsid w:val="5BA7C654"/>
    <w:rsid w:val="60A54109"/>
    <w:rsid w:val="61D01CDF"/>
    <w:rsid w:val="64C0607C"/>
    <w:rsid w:val="65756C86"/>
    <w:rsid w:val="674D385B"/>
    <w:rsid w:val="676F09E1"/>
    <w:rsid w:val="68AA4FEA"/>
    <w:rsid w:val="6D3E6F33"/>
    <w:rsid w:val="6D5E7412"/>
    <w:rsid w:val="6E6E53AB"/>
    <w:rsid w:val="7104515E"/>
    <w:rsid w:val="71793A80"/>
    <w:rsid w:val="7357290B"/>
    <w:rsid w:val="79761FAD"/>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1661.89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1589.82</c:v>
                </c:pt>
                <c:pt idx="1">
                  <c:v>72.07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3850</Words>
  <Characters>4356</Characters>
  <Lines>28</Lines>
  <Paragraphs>8</Paragraphs>
  <TotalTime>7</TotalTime>
  <ScaleCrop>false</ScaleCrop>
  <LinksUpToDate>false</LinksUpToDate>
  <CharactersWithSpaces>4379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john</cp:lastModifiedBy>
  <cp:lastPrinted>2020-08-07T11:39:00Z</cp:lastPrinted>
  <dcterms:modified xsi:type="dcterms:W3CDTF">2025-08-27T08:37:30Z</dcterms:modified>
  <dc:title>北京市财政局关于做好向市人大常委会报送2015年度市级部门决算（草案）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435078ACFECC4A5A8A519EF4C3681114_13</vt:lpwstr>
  </property>
  <property fmtid="{D5CDD505-2E9C-101B-9397-08002B2CF9AE}" pid="4" name="KSOTemplateDocerSaveRecord">
    <vt:lpwstr>eyJoZGlkIjoiOThjZjdmZDMyODIxZjU4MGMzYTljZjlkMWIwMGI2YjAifQ==</vt:lpwstr>
  </property>
</Properties>
</file>