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仿宋_GB2312" w:hAnsi="Times New Roman" w:eastAsia="仿宋_GB2312" w:cs="Times New Roman"/>
          <w:b/>
          <w:sz w:val="44"/>
          <w:szCs w:val="44"/>
        </w:rPr>
      </w:pPr>
    </w:p>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899"/>
        <w:gridCol w:w="215"/>
        <w:gridCol w:w="781"/>
        <w:gridCol w:w="204"/>
        <w:gridCol w:w="970"/>
        <w:gridCol w:w="277"/>
        <w:gridCol w:w="349"/>
        <w:gridCol w:w="347"/>
        <w:gridCol w:w="335"/>
        <w:gridCol w:w="501"/>
        <w:gridCol w:w="699"/>
      </w:tblGrid>
      <w:tr>
        <w:tblPrEx>
          <w:tblLayout w:type="fixed"/>
          <w:tblCellMar>
            <w:top w:w="0" w:type="dxa"/>
            <w:left w:w="108" w:type="dxa"/>
            <w:bottom w:w="0" w:type="dxa"/>
            <w:right w:w="108" w:type="dxa"/>
          </w:tblCellMar>
        </w:tblPrEx>
        <w:trPr>
          <w:trHeight w:val="440" w:hRule="exact"/>
          <w:jc w:val="center"/>
        </w:trPr>
        <w:tc>
          <w:tcPr>
            <w:tcW w:w="8928" w:type="dxa"/>
            <w:gridSpan w:val="15"/>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5"/>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OLE_LINK1"/>
            <w:r>
              <w:rPr>
                <w:rFonts w:hint="eastAsia" w:ascii="宋体" w:hAnsi="宋体" w:eastAsia="宋体" w:cs="宋体"/>
                <w:kern w:val="0"/>
                <w:sz w:val="18"/>
                <w:szCs w:val="18"/>
              </w:rPr>
              <w:t>劳动和社会保障工作经费</w:t>
            </w:r>
            <w:bookmarkEnd w:id="0"/>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7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西城区广外街道办事处</w:t>
            </w:r>
          </w:p>
        </w:tc>
        <w:tc>
          <w:tcPr>
            <w:tcW w:w="145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西城区广外街道办事处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37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451"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9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5.00</w:t>
            </w:r>
          </w:p>
        </w:tc>
        <w:tc>
          <w:tcPr>
            <w:tcW w:w="9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5.00</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3.3000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66%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1" w:name="OLE_LINK2"/>
            <w:r>
              <w:rPr>
                <w:rFonts w:hint="eastAsia" w:ascii="宋体" w:hAnsi="宋体" w:eastAsia="宋体" w:cs="宋体"/>
                <w:kern w:val="0"/>
                <w:sz w:val="18"/>
                <w:szCs w:val="18"/>
                <w:lang w:val="en-US" w:eastAsia="zh-CN"/>
              </w:rPr>
              <w:t>6.6</w:t>
            </w:r>
            <w:bookmarkEnd w:id="1"/>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5.00</w:t>
            </w:r>
          </w:p>
        </w:tc>
        <w:tc>
          <w:tcPr>
            <w:tcW w:w="9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5.00</w:t>
            </w: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3.3000</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66%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6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682"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997"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68"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通过劳动和社会保障法律、法规及相关政策宣传培训，开展阶段性执法检查、巡查和监察用人单位遵守劳动法规政策情况，指导用人单位建立劳动关系台账，调解辖区劳动关系纠纷，引导辖区用人单位建立和谐劳动关系，实现地区工资无拖欠，维护劳动者合法权益。</w:t>
            </w:r>
          </w:p>
        </w:tc>
        <w:tc>
          <w:tcPr>
            <w:tcW w:w="3682"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本着节约原则，开展点对点宣传法规进企业活动。通过开展阶段性执法检查巡查和监察用人单位遵守劳动法规政策情况，指导用人单位建立了完善的劳动关系台账，调解辖区劳动关系纠纷159起，涉及719人次，引导辖区用人单位建立和谐劳动关系，实现地区工资无拖欠，维护了劳动者合法权益。</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8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指标1：组织培训活动</w:t>
            </w:r>
            <w:r>
              <w:rPr>
                <w:rFonts w:hint="eastAsia" w:ascii="宋体" w:hAnsi="宋体" w:eastAsia="宋体" w:cs="宋体"/>
                <w:color w:val="000000"/>
                <w:kern w:val="0"/>
                <w:sz w:val="18"/>
                <w:szCs w:val="18"/>
                <w:lang w:eastAsia="zh-CN"/>
              </w:rPr>
              <w:t>覆盖数量</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≥100家</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120家</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指标2：案件调解</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=20件</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159件</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0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指标1：企业活动参与率</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95%</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指标2：劳动人事争议案件调解率</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指标1：劳动和社会保障法律法规宣传培训</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每半年一次</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8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指标2：宣传品发放</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202</w:t>
            </w:r>
            <w:r>
              <w:rPr>
                <w:rFonts w:hint="eastAsia" w:ascii="宋体" w:hAnsi="宋体" w:eastAsia="宋体" w:cs="宋体"/>
                <w:kern w:val="0"/>
                <w:sz w:val="18"/>
                <w:szCs w:val="18"/>
                <w:lang w:val="en-US" w:eastAsia="zh-CN"/>
              </w:rPr>
              <w:t>4</w:t>
            </w:r>
            <w:r>
              <w:rPr>
                <w:rFonts w:hint="eastAsia" w:ascii="宋体" w:hAnsi="宋体" w:eastAsia="宋体" w:cs="宋体"/>
                <w:kern w:val="0"/>
                <w:sz w:val="18"/>
                <w:szCs w:val="18"/>
              </w:rPr>
              <w:t>年12月底完成</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2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劳动和社会保障法律法规宣传培训</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3万元</w:t>
            </w:r>
          </w:p>
        </w:tc>
        <w:tc>
          <w:tcPr>
            <w:tcW w:w="1174" w:type="dxa"/>
            <w:gridSpan w:val="2"/>
            <w:vMerge w:val="restart"/>
            <w:tcBorders>
              <w:top w:val="nil"/>
              <w:left w:val="nil"/>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3000</w:t>
            </w:r>
            <w:r>
              <w:rPr>
                <w:rFonts w:hint="eastAsia" w:ascii="宋体" w:hAnsi="宋体" w:eastAsia="宋体" w:cs="宋体"/>
                <w:kern w:val="0"/>
                <w:sz w:val="18"/>
                <w:szCs w:val="18"/>
                <w:lang w:eastAsia="zh-CN"/>
              </w:rPr>
              <w:t>万元</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指标2：协管员餐费(全年)</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万元</w:t>
            </w:r>
          </w:p>
        </w:tc>
        <w:tc>
          <w:tcPr>
            <w:tcW w:w="1174" w:type="dxa"/>
            <w:gridSpan w:val="2"/>
            <w:vMerge w:val="continue"/>
            <w:tcBorders>
              <w:left w:val="nil"/>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2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w:t>
            </w:r>
            <w:r>
              <w:rPr>
                <w:rFonts w:hint="eastAsia" w:ascii="宋体" w:hAnsi="宋体" w:eastAsia="宋体" w:cs="宋体"/>
                <w:color w:val="000000"/>
                <w:kern w:val="0"/>
                <w:sz w:val="18"/>
                <w:szCs w:val="18"/>
                <w:lang w:val="en-US" w:eastAsia="zh-CN"/>
              </w:rPr>
              <w:t>3</w:t>
            </w:r>
            <w:r>
              <w:rPr>
                <w:rFonts w:hint="eastAsia" w:ascii="宋体" w:hAnsi="宋体" w:eastAsia="宋体" w:cs="宋体"/>
                <w:color w:val="000000"/>
                <w:kern w:val="0"/>
                <w:sz w:val="18"/>
                <w:szCs w:val="18"/>
              </w:rPr>
              <w:t>：入职监察员工作服费用</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0.8万元</w:t>
            </w:r>
          </w:p>
        </w:tc>
        <w:tc>
          <w:tcPr>
            <w:tcW w:w="1174"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2</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4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指标1：指导用人单位建立劳动关系台账，调解辖区劳动关系纠纷，引导辖区用人单位建立和谐劳动关系，实现地区工资无拖欠，促进地区经济发展，维护社会和谐稳定</w:t>
            </w:r>
          </w:p>
        </w:tc>
        <w:tc>
          <w:tcPr>
            <w:tcW w:w="9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w:t>
            </w:r>
          </w:p>
        </w:tc>
        <w:tc>
          <w:tcPr>
            <w:tcW w:w="11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5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指标1：解决</w:t>
            </w:r>
            <w:bookmarkStart w:id="2" w:name="_GoBack"/>
            <w:bookmarkEnd w:id="2"/>
            <w:r>
              <w:rPr>
                <w:rFonts w:hint="eastAsia" w:ascii="宋体" w:hAnsi="宋体" w:eastAsia="宋体" w:cs="宋体"/>
                <w:color w:val="000000"/>
                <w:kern w:val="0"/>
                <w:sz w:val="18"/>
                <w:szCs w:val="18"/>
              </w:rPr>
              <w:t>劳动人事纠纷，维护辖区经济社会运行稳定，推进劳动和社区保障法律知晓率。</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=1年</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1年</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6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指标1：参加培训人员满意度</w:t>
            </w:r>
          </w:p>
        </w:tc>
        <w:tc>
          <w:tcPr>
            <w:tcW w:w="9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w:t>
            </w:r>
          </w:p>
        </w:tc>
        <w:tc>
          <w:tcPr>
            <w:tcW w:w="11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0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6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指标2：案件调解人员满意度</w:t>
            </w:r>
          </w:p>
        </w:tc>
        <w:tc>
          <w:tcPr>
            <w:tcW w:w="9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w:t>
            </w:r>
          </w:p>
        </w:tc>
        <w:tc>
          <w:tcPr>
            <w:tcW w:w="11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6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96.6</w:t>
            </w:r>
          </w:p>
        </w:tc>
        <w:tc>
          <w:tcPr>
            <w:tcW w:w="12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line="600" w:lineRule="exact"/>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8884523"/>
    <w:rsid w:val="0E420837"/>
    <w:rsid w:val="1D3A5224"/>
    <w:rsid w:val="279F4538"/>
    <w:rsid w:val="397D6532"/>
    <w:rsid w:val="4F23521F"/>
    <w:rsid w:val="532F7026"/>
    <w:rsid w:val="55536753"/>
    <w:rsid w:val="57F72AF5"/>
    <w:rsid w:val="5F581B97"/>
    <w:rsid w:val="5F6E32A4"/>
    <w:rsid w:val="63E5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175</Words>
  <Characters>1002</Characters>
  <Lines>8</Lines>
  <Paragraphs>2</Paragraphs>
  <TotalTime>1</TotalTime>
  <ScaleCrop>false</ScaleCrop>
  <LinksUpToDate>false</LinksUpToDate>
  <CharactersWithSpaces>1175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2025-08-28T03:16:37Z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