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26"/>
        <w:gridCol w:w="892"/>
        <w:gridCol w:w="837"/>
        <w:gridCol w:w="277"/>
        <w:gridCol w:w="280"/>
        <w:gridCol w:w="416"/>
        <w:gridCol w:w="229"/>
        <w:gridCol w:w="60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困境儿童生活经费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13.649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97.49%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13.649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97.49%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建立困境儿童生活保障制度，实施困境儿童生活、医疗救助。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为7名困境儿童发放困境儿童生活费，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保障儿童基本生活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困境儿童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≥7人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/>
                <w:sz w:val="15"/>
                <w:szCs w:val="16"/>
              </w:rPr>
              <w:t>执行</w:t>
            </w:r>
            <w:r>
              <w:rPr>
                <w:rFonts w:hint="eastAsia"/>
                <w:sz w:val="15"/>
                <w:szCs w:val="16"/>
                <w:lang w:eastAsia="zh-CN"/>
              </w:rPr>
              <w:t>相关标准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Theme="minorEastAsia"/>
                <w:sz w:val="15"/>
                <w:szCs w:val="16"/>
                <w:lang w:eastAsia="zh-CN"/>
              </w:rPr>
            </w:pPr>
            <w:r>
              <w:rPr>
                <w:rFonts w:hint="eastAsia"/>
                <w:sz w:val="15"/>
                <w:szCs w:val="16"/>
                <w:lang w:eastAsia="zh-CN"/>
              </w:rPr>
              <w:t>按标准执行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严格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按照标准执行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发放方式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≤14万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13.649万元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提升精准救助的水平，确保符合条件人员及时得以救助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确保辖区困境儿童的衣、食、行等生活方面与教育、医疗方面均能有基本保障。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99.74</w:t>
            </w:r>
          </w:p>
        </w:tc>
        <w:tc>
          <w:tcPr>
            <w:tcW w:w="1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A661C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1C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4DB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710256"/>
    <w:rsid w:val="0E420837"/>
    <w:rsid w:val="0E72508B"/>
    <w:rsid w:val="0FC15CD5"/>
    <w:rsid w:val="397D6532"/>
    <w:rsid w:val="46D750A8"/>
    <w:rsid w:val="4F73121D"/>
    <w:rsid w:val="5BDE76A2"/>
    <w:rsid w:val="5F581B97"/>
    <w:rsid w:val="63E51B3E"/>
    <w:rsid w:val="792E5B91"/>
    <w:rsid w:val="7FF5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952</Characters>
  <Lines>7</Lines>
  <Paragraphs>2</Paragraphs>
  <TotalTime>6</TotalTime>
  <ScaleCrop>false</ScaleCrop>
  <LinksUpToDate>false</LinksUpToDate>
  <CharactersWithSpaces>1117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2025-08-28T02:57:48Z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