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76"/>
        <w:gridCol w:w="997"/>
        <w:gridCol w:w="809"/>
        <w:gridCol w:w="250"/>
        <w:gridCol w:w="254"/>
        <w:gridCol w:w="442"/>
        <w:gridCol w:w="219"/>
        <w:gridCol w:w="617"/>
        <w:gridCol w:w="7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9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5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广外街道综合行政执法保障经费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32.0321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88.98%</w:t>
            </w:r>
            <w:bookmarkEnd w:id="1"/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8.898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32.0321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88.98%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根据日常执法工作实际，用于保障执法队的日常执法工作，处理执法过程中的应急事件,购买执法工具、物资，维护执法装备的正常运行,提高工作效率，保障执法工作顺利开展。</w:t>
            </w:r>
          </w:p>
        </w:tc>
        <w:tc>
          <w:tcPr>
            <w:tcW w:w="33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确保各类执法设备设施正常运行，为执法人员正常开展工作提供了基本保障。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</w:t>
            </w:r>
            <w:bookmarkStart w:id="2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</w:t>
            </w:r>
            <w:bookmarkEnd w:id="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指标1：执法人员数量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≥47人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43人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13.72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偏差原因：本年度执法人员变动较大，涉及退休、外调。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措施：优化人员配置与管理。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指标2：执法车辆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辆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7辆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维护社会秩序安全、稳定保障率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执法车辆维护及时率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≤36</w:t>
            </w:r>
            <w:bookmarkStart w:id="3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  <w:bookmarkEnd w:id="3"/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32.0321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8.898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5" w:name="_GoBack"/>
            <w:bookmarkEnd w:id="5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有效防范执法人员安全风险，维护执法车的正常运行,提高工作效率。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保障执法巡查工作有序开展，居民生活便利、舒适性，维护首都城管执法形象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4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达到预期目标</w:t>
            </w:r>
            <w:bookmarkEnd w:id="4"/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达到预期目标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执法人员的满意度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96.516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217B752C"/>
    <w:rsid w:val="2EAE4465"/>
    <w:rsid w:val="397D6532"/>
    <w:rsid w:val="48CF367D"/>
    <w:rsid w:val="5B5E46CD"/>
    <w:rsid w:val="5F581B97"/>
    <w:rsid w:val="63E51B3E"/>
    <w:rsid w:val="6AF83599"/>
    <w:rsid w:val="764F6B3D"/>
    <w:rsid w:val="CCE7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6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2025-08-22T09:02:36Z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B9B262B5A501C19E3CBCD267E555E469</vt:lpwstr>
  </property>
</Properties>
</file>