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482"/>
        <w:gridCol w:w="632"/>
        <w:gridCol w:w="685"/>
        <w:gridCol w:w="210"/>
        <w:gridCol w:w="1337"/>
        <w:gridCol w:w="643"/>
        <w:gridCol w:w="53"/>
        <w:gridCol w:w="622"/>
        <w:gridCol w:w="214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接诉即办工作经费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6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北京市西城区人民政府广安门外街道办事处</w:t>
            </w: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北京市西城区人民政府广安门外街道办事处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8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OLE_LINK9" w:colFirst="2" w:colLast="4"/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245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1" w:name="OLE_LINK5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244.8</w:t>
            </w:r>
            <w:bookmarkEnd w:id="1"/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2" w:name="OLE_LINK11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237.20914</w:t>
            </w:r>
            <w:bookmarkEnd w:id="2"/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3" w:name="OLE_LINK1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96.9%</w:t>
            </w:r>
            <w:bookmarkEnd w:id="3"/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9.69</w:t>
            </w: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245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244.8</w:t>
            </w: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237.20914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96.9%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5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7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5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过购买“接诉即办”热线管理技术服务的方式，将街道“接诉即办”工作纳入数字化管理；负责接听和登记市民、企业服务热线和诉求信息；处理市中心下派的案件，并进行分派到社区或职能部门、督办；为市民提供政策法规、办事流程、执法程序、审批服务等政策咨询、服务查询、诉求受理等政务服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377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“接诉即办”协同平台，全年运行平稳，提高了街道“接诉即办”案件的办理质效。7月，接诉即办</w:t>
            </w:r>
            <w:bookmarkStart w:id="4" w:name="OLE_LINK7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可视化大屏上线</w:t>
            </w:r>
            <w:bookmarkEnd w:id="4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，建立了多维度的数据分析模型，为预警、快速处置和提前治理提供了科学依据。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9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承办热线诉求件数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≥2563</w:t>
            </w:r>
            <w:bookmarkStart w:id="9" w:name="_GoBack"/>
            <w:bookmarkEnd w:id="9"/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17126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0</w:t>
            </w:r>
          </w:p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</w:t>
            </w:r>
          </w:p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</w:p>
          <w:p>
            <w:pPr>
              <w:pStyle w:val="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快捷高效及</w:t>
            </w:r>
            <w:bookmarkStart w:id="5" w:name="OLE_LINK1"/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时应答居民诉求</w:t>
            </w:r>
            <w:bookmarkEnd w:id="5"/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快捷高效</w:t>
            </w: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可视化大屏上线，为高效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应答居民诉求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提供技术支撑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应答居民诉求时间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小于等于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24小时</w:t>
            </w: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诉求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响应率100%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成本指标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项目预算控制数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6" w:name="OLE_LINK6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≤244.8万元</w:t>
            </w:r>
            <w:bookmarkEnd w:id="6"/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237.20914万元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9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接诉即办办公效率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提升</w:t>
            </w:r>
          </w:p>
        </w:tc>
        <w:tc>
          <w:tcPr>
            <w:tcW w:w="1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通过“接诉即办”协同平台，实现标准化的流程管理、案件处置过程的留痕及跟踪、以及实时的数据统计分析，提升办公效率。</w:t>
            </w:r>
          </w:p>
        </w:tc>
        <w:tc>
          <w:tcPr>
            <w:tcW w:w="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9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解决率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7" w:name="OLE_LINK3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  <w:bookmarkEnd w:id="7"/>
          </w:p>
        </w:tc>
        <w:tc>
          <w:tcPr>
            <w:tcW w:w="1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8" w:name="OLE_LINK4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98.09%</w:t>
            </w:r>
            <w:bookmarkEnd w:id="8"/>
          </w:p>
        </w:tc>
        <w:tc>
          <w:tcPr>
            <w:tcW w:w="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满意度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98.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9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9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3BD0F39"/>
    <w:rsid w:val="06642B0B"/>
    <w:rsid w:val="0E420837"/>
    <w:rsid w:val="19A20768"/>
    <w:rsid w:val="1B4641B9"/>
    <w:rsid w:val="22BB42CC"/>
    <w:rsid w:val="233F30E4"/>
    <w:rsid w:val="2462250F"/>
    <w:rsid w:val="27102AA5"/>
    <w:rsid w:val="397D6532"/>
    <w:rsid w:val="39866AB6"/>
    <w:rsid w:val="3A0F137A"/>
    <w:rsid w:val="3C900D9A"/>
    <w:rsid w:val="3FC326D7"/>
    <w:rsid w:val="41FB212E"/>
    <w:rsid w:val="431D7C71"/>
    <w:rsid w:val="45F10750"/>
    <w:rsid w:val="49427589"/>
    <w:rsid w:val="5F581B97"/>
    <w:rsid w:val="61830DAA"/>
    <w:rsid w:val="62BB784D"/>
    <w:rsid w:val="63E51B3E"/>
    <w:rsid w:val="676833E5"/>
    <w:rsid w:val="6788436B"/>
    <w:rsid w:val="694B3B3C"/>
    <w:rsid w:val="6ACE52F3"/>
    <w:rsid w:val="6E7A6E31"/>
    <w:rsid w:val="73FB1D56"/>
    <w:rsid w:val="78523B0A"/>
    <w:rsid w:val="7D983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nhideWhenUsed="0" w:uiPriority="0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widowControl w:val="0"/>
      <w:spacing w:before="120" w:after="0"/>
      <w:ind w:left="0" w:right="0"/>
      <w:jc w:val="both"/>
    </w:pPr>
    <w:rPr>
      <w:rFonts w:ascii="Arial" w:hAnsi="Arial" w:eastAsia="等线" w:cs="Arial"/>
      <w:kern w:val="2"/>
      <w:sz w:val="24"/>
      <w:szCs w:val="24"/>
      <w:lang w:val="en-US" w:eastAsia="zh-CN" w:bidi="ar-SA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2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dcterms:modified xsi:type="dcterms:W3CDTF">2025-08-24T06:09:29Z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E00A40D879784447BC69C3284CB6C91C</vt:lpwstr>
  </property>
</Properties>
</file>