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仿宋_GB2312" w:hAnsi="Times New Roman" w:eastAsia="仿宋_GB2312" w:cs="Times New Roman"/>
          <w:b/>
          <w:sz w:val="44"/>
          <w:szCs w:val="44"/>
        </w:rPr>
      </w:pPr>
    </w:p>
    <w:tbl>
      <w:tblPr>
        <w:tblStyle w:val="7"/>
        <w:tblW w:w="8928" w:type="dxa"/>
        <w:jc w:val="center"/>
        <w:tblInd w:w="0" w:type="dxa"/>
        <w:tblLayout w:type="fixed"/>
        <w:tblCellMar>
          <w:top w:w="0" w:type="dxa"/>
          <w:left w:w="108" w:type="dxa"/>
          <w:bottom w:w="0" w:type="dxa"/>
          <w:right w:w="108" w:type="dxa"/>
        </w:tblCellMar>
      </w:tblPr>
      <w:tblGrid>
        <w:gridCol w:w="578"/>
        <w:gridCol w:w="963"/>
        <w:gridCol w:w="1092"/>
        <w:gridCol w:w="718"/>
        <w:gridCol w:w="1114"/>
        <w:gridCol w:w="1143"/>
        <w:gridCol w:w="975"/>
        <w:gridCol w:w="114"/>
        <w:gridCol w:w="536"/>
        <w:gridCol w:w="160"/>
        <w:gridCol w:w="490"/>
        <w:gridCol w:w="346"/>
        <w:gridCol w:w="699"/>
      </w:tblGrid>
      <w:tr>
        <w:tblPrEx>
          <w:tblLayout w:type="fixed"/>
          <w:tblCellMar>
            <w:top w:w="0" w:type="dxa"/>
            <w:left w:w="108" w:type="dxa"/>
            <w:bottom w:w="0" w:type="dxa"/>
            <w:right w:w="108" w:type="dxa"/>
          </w:tblCellMar>
        </w:tblPrEx>
        <w:trPr>
          <w:trHeight w:val="440" w:hRule="exact"/>
          <w:jc w:val="center"/>
        </w:trPr>
        <w:tc>
          <w:tcPr>
            <w:tcW w:w="8928" w:type="dxa"/>
            <w:gridSpan w:val="13"/>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3"/>
            <w:tcBorders>
              <w:top w:val="nil"/>
              <w:left w:val="nil"/>
              <w:bottom w:val="nil"/>
              <w:right w:val="nil"/>
            </w:tcBorders>
          </w:tcPr>
          <w:p>
            <w:pPr>
              <w:widowControl/>
              <w:jc w:val="center"/>
              <w:rPr>
                <w:rFonts w:ascii="宋体" w:hAnsi="宋体" w:eastAsia="宋体" w:cs="宋体"/>
                <w:kern w:val="0"/>
                <w:sz w:val="22"/>
                <w:szCs w:val="24"/>
              </w:rPr>
            </w:pPr>
            <w:r>
              <w:rPr>
                <w:rFonts w:hint="eastAsia" w:ascii="宋体" w:hAnsi="宋体" w:eastAsia="宋体" w:cs="宋体"/>
                <w:kern w:val="0"/>
                <w:sz w:val="22"/>
                <w:szCs w:val="24"/>
              </w:rPr>
              <w:t xml:space="preserve">（    </w:t>
            </w:r>
            <w:r>
              <w:rPr>
                <w:rFonts w:hint="eastAsia" w:ascii="宋体" w:hAnsi="宋体" w:eastAsia="宋体" w:cs="宋体"/>
                <w:kern w:val="0"/>
                <w:sz w:val="22"/>
                <w:szCs w:val="24"/>
                <w:lang w:val="en-US" w:eastAsia="zh-CN"/>
              </w:rPr>
              <w:t>2024</w:t>
            </w:r>
            <w:r>
              <w:rPr>
                <w:rFonts w:hint="eastAsia" w:ascii="宋体" w:hAnsi="宋体" w:eastAsia="宋体" w:cs="宋体"/>
                <w:kern w:val="0"/>
                <w:sz w:val="22"/>
                <w:szCs w:val="24"/>
              </w:rPr>
              <w:t>年度）</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387"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bookmarkStart w:id="0" w:name="OLE_LINK9"/>
            <w:r>
              <w:rPr>
                <w:rFonts w:hint="eastAsia" w:ascii="宋体" w:hAnsi="宋体" w:eastAsia="宋体" w:cs="宋体"/>
                <w:kern w:val="0"/>
                <w:sz w:val="18"/>
                <w:szCs w:val="18"/>
              </w:rPr>
              <w:t>物业管理工作经费</w:t>
            </w:r>
            <w:bookmarkEnd w:id="0"/>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067"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社区建设办公室</w:t>
            </w:r>
          </w:p>
        </w:tc>
        <w:tc>
          <w:tcPr>
            <w:tcW w:w="108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社区建设办公室</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w:t>
            </w:r>
            <w:r>
              <w:rPr>
                <w:rFonts w:ascii="宋体" w:hAnsi="宋体" w:eastAsia="宋体" w:cs="宋体"/>
                <w:kern w:val="0"/>
                <w:sz w:val="18"/>
                <w:szCs w:val="18"/>
              </w:rPr>
              <w:t>负责人</w:t>
            </w:r>
          </w:p>
        </w:tc>
        <w:tc>
          <w:tcPr>
            <w:tcW w:w="4067"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c>
          <w:tcPr>
            <w:tcW w:w="108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联系电话</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r>
      <w:tr>
        <w:tblPrEx>
          <w:tblLayout w:type="fixed"/>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1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08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bookmarkStart w:id="1" w:name="OLE_LINK1" w:colFirst="2" w:colLast="3"/>
            <w:bookmarkStart w:id="2" w:name="OLE_LINK10" w:colFirst="2" w:colLast="4"/>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96.5</w:t>
            </w:r>
          </w:p>
        </w:tc>
        <w:tc>
          <w:tcPr>
            <w:tcW w:w="11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96.5</w:t>
            </w:r>
          </w:p>
        </w:tc>
        <w:tc>
          <w:tcPr>
            <w:tcW w:w="108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96.484229</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99.98</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9.99</w:t>
            </w:r>
          </w:p>
        </w:tc>
      </w:tr>
      <w:bookmarkEnd w:id="1"/>
      <w:bookmarkEnd w:id="2"/>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96.5</w:t>
            </w:r>
          </w:p>
        </w:tc>
        <w:tc>
          <w:tcPr>
            <w:tcW w:w="11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96.5</w:t>
            </w:r>
          </w:p>
        </w:tc>
        <w:tc>
          <w:tcPr>
            <w:tcW w:w="108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96.484229</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99.98</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9.99</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14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08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14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08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3887"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4463" w:type="dxa"/>
            <w:gridSpan w:val="8"/>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Layout w:type="fixed"/>
          <w:tblCellMar>
            <w:top w:w="0" w:type="dxa"/>
            <w:left w:w="108" w:type="dxa"/>
            <w:bottom w:w="0" w:type="dxa"/>
            <w:right w:w="108" w:type="dxa"/>
          </w:tblCellMar>
        </w:tblPrEx>
        <w:trPr>
          <w:trHeight w:val="2579"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rPr>
            </w:pPr>
          </w:p>
        </w:tc>
        <w:tc>
          <w:tcPr>
            <w:tcW w:w="3887" w:type="dxa"/>
            <w:gridSpan w:val="4"/>
            <w:tcBorders>
              <w:top w:val="single" w:color="auto" w:sz="4" w:space="0"/>
              <w:left w:val="nil"/>
              <w:bottom w:val="single" w:color="auto" w:sz="4" w:space="0"/>
              <w:right w:val="single" w:color="auto" w:sz="4" w:space="0"/>
            </w:tcBorders>
            <w:vAlign w:val="center"/>
          </w:tcPr>
          <w:p>
            <w:pPr>
              <w:widowControl/>
              <w:tabs>
                <w:tab w:val="center" w:pos="947"/>
              </w:tabs>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1.通过多种方式加强宣传解读，引导居民积极参与管理小区事务，激发基层治理活力，实现共建共治共享，提升广外地区的物业管理水平；</w:t>
            </w:r>
          </w:p>
          <w:p>
            <w:pPr>
              <w:widowControl/>
              <w:tabs>
                <w:tab w:val="center" w:pos="947"/>
              </w:tabs>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val="en-US" w:eastAsia="zh-CN"/>
              </w:rPr>
              <w:t>2</w:t>
            </w:r>
            <w:r>
              <w:rPr>
                <w:rFonts w:hint="eastAsia" w:ascii="宋体" w:hAnsi="宋体" w:eastAsia="宋体" w:cs="宋体"/>
                <w:color w:val="000000"/>
                <w:kern w:val="0"/>
                <w:sz w:val="18"/>
                <w:szCs w:val="18"/>
                <w:lang w:eastAsia="zh-CN"/>
              </w:rPr>
              <w:t>.借鉴“大兴经验”有利于充分</w:t>
            </w:r>
            <w:bookmarkStart w:id="3" w:name="OLE_LINK4"/>
            <w:r>
              <w:rPr>
                <w:rFonts w:hint="eastAsia" w:ascii="宋体" w:hAnsi="宋体" w:eastAsia="宋体" w:cs="宋体"/>
                <w:color w:val="000000"/>
                <w:kern w:val="0"/>
                <w:sz w:val="18"/>
                <w:szCs w:val="18"/>
                <w:lang w:eastAsia="zh-CN"/>
              </w:rPr>
              <w:t>发挥第三方专业优势，</w:t>
            </w:r>
            <w:bookmarkEnd w:id="3"/>
            <w:r>
              <w:rPr>
                <w:rFonts w:hint="eastAsia" w:ascii="宋体" w:hAnsi="宋体" w:eastAsia="宋体" w:cs="宋体"/>
                <w:color w:val="000000"/>
                <w:kern w:val="0"/>
                <w:sz w:val="18"/>
                <w:szCs w:val="18"/>
                <w:lang w:eastAsia="zh-CN"/>
              </w:rPr>
              <w:t>为业委会、物管会履职提供专业</w:t>
            </w:r>
            <w:bookmarkStart w:id="10" w:name="_GoBack"/>
            <w:bookmarkEnd w:id="10"/>
            <w:r>
              <w:rPr>
                <w:rFonts w:hint="eastAsia" w:ascii="宋体" w:hAnsi="宋体" w:eastAsia="宋体" w:cs="宋体"/>
                <w:color w:val="000000"/>
                <w:kern w:val="0"/>
                <w:sz w:val="18"/>
                <w:szCs w:val="18"/>
                <w:lang w:eastAsia="zh-CN"/>
              </w:rPr>
              <w:t>精细指导，保障业委会、物管会规范、平稳、有序、高效运行。</w:t>
            </w:r>
          </w:p>
          <w:p>
            <w:pPr>
              <w:widowControl/>
              <w:tabs>
                <w:tab w:val="center" w:pos="947"/>
              </w:tabs>
              <w:spacing w:line="240" w:lineRule="exact"/>
              <w:jc w:val="left"/>
              <w:rPr>
                <w:rFonts w:hint="eastAsia" w:ascii="宋体" w:hAnsi="宋体" w:eastAsia="宋体" w:cs="宋体"/>
                <w:color w:val="000000"/>
                <w:kern w:val="0"/>
                <w:sz w:val="18"/>
                <w:szCs w:val="18"/>
                <w:lang w:eastAsia="zh-CN"/>
              </w:rPr>
            </w:pPr>
          </w:p>
        </w:tc>
        <w:tc>
          <w:tcPr>
            <w:tcW w:w="4463" w:type="dxa"/>
            <w:gridSpan w:val="8"/>
            <w:tcBorders>
              <w:top w:val="single" w:color="auto" w:sz="4" w:space="0"/>
              <w:left w:val="nil"/>
              <w:bottom w:val="single" w:color="auto" w:sz="4" w:space="0"/>
              <w:right w:val="single" w:color="auto" w:sz="4" w:space="0"/>
            </w:tcBorders>
            <w:vAlign w:val="center"/>
          </w:tcPr>
          <w:p>
            <w:pPr>
              <w:widowControl/>
              <w:tabs>
                <w:tab w:val="center" w:pos="947"/>
              </w:tabs>
              <w:spacing w:line="240" w:lineRule="exact"/>
              <w:jc w:val="left"/>
              <w:rPr>
                <w:rFonts w:hint="eastAsia" w:ascii="宋体" w:hAnsi="宋体" w:eastAsia="宋体" w:cs="宋体"/>
                <w:color w:val="000000"/>
                <w:kern w:val="0"/>
                <w:sz w:val="18"/>
                <w:szCs w:val="18"/>
                <w:lang w:val="en-US" w:eastAsia="zh-CN"/>
              </w:rPr>
            </w:pPr>
            <w:bookmarkStart w:id="4" w:name="OLE_LINK6"/>
            <w:r>
              <w:rPr>
                <w:rFonts w:hint="eastAsia" w:ascii="宋体" w:hAnsi="宋体" w:eastAsia="宋体" w:cs="宋体"/>
                <w:color w:val="000000"/>
                <w:kern w:val="0"/>
                <w:sz w:val="18"/>
                <w:szCs w:val="18"/>
                <w:lang w:val="en-US" w:eastAsia="zh-CN"/>
              </w:rPr>
              <w:t>开展政策法规宣讲及业务知识培训</w:t>
            </w:r>
            <w:bookmarkEnd w:id="4"/>
            <w:r>
              <w:rPr>
                <w:rFonts w:hint="eastAsia" w:ascii="宋体" w:hAnsi="宋体" w:eastAsia="宋体" w:cs="宋体"/>
                <w:color w:val="000000"/>
                <w:kern w:val="0"/>
                <w:sz w:val="18"/>
                <w:szCs w:val="18"/>
                <w:lang w:val="en-US" w:eastAsia="zh-CN"/>
              </w:rPr>
              <w:t>，采取“点对点”现场座谈方式，逐一指导业委会、物管会处理具体问题，在解决物业管理相关问题、老旧小区引入物业等方面发挥了积极作用；</w:t>
            </w:r>
            <w:bookmarkStart w:id="5" w:name="OLE_LINK7"/>
            <w:r>
              <w:rPr>
                <w:rFonts w:hint="eastAsia" w:ascii="宋体" w:hAnsi="宋体" w:eastAsia="宋体" w:cs="宋体"/>
                <w:color w:val="000000"/>
                <w:kern w:val="0"/>
                <w:sz w:val="18"/>
                <w:szCs w:val="18"/>
                <w:lang w:val="en-US" w:eastAsia="zh-CN"/>
              </w:rPr>
              <w:t>定期组织政策法规、沟通技巧培训，开展业务交流沙龙，提升企业归属感、认同感，提升行业凝聚力、影响力</w:t>
            </w:r>
            <w:bookmarkEnd w:id="5"/>
            <w:r>
              <w:rPr>
                <w:rFonts w:hint="eastAsia" w:ascii="宋体" w:hAnsi="宋体" w:eastAsia="宋体" w:cs="宋体"/>
                <w:color w:val="000000"/>
                <w:kern w:val="0"/>
                <w:sz w:val="18"/>
                <w:szCs w:val="18"/>
                <w:lang w:val="en-US" w:eastAsia="zh-CN"/>
              </w:rPr>
              <w:t>；对14个消防系统存在安全隐患的小区组织开展综合执法检查督促物业企业进行整改；；针对“接诉即办”诉求较多的物业企业，进行诫勉约谈、工作指导，</w:t>
            </w:r>
            <w:bookmarkStart w:id="6" w:name="OLE_LINK8"/>
            <w:r>
              <w:rPr>
                <w:rFonts w:hint="eastAsia" w:ascii="宋体" w:hAnsi="宋体" w:eastAsia="宋体" w:cs="宋体"/>
                <w:color w:val="000000"/>
                <w:kern w:val="0"/>
                <w:sz w:val="18"/>
                <w:szCs w:val="18"/>
                <w:lang w:val="en-US" w:eastAsia="zh-CN"/>
              </w:rPr>
              <w:t>全年共“吹哨”30余次，参加社区物业管理类协调、沟通会议70余次，组织联合执法检查5次，约谈物业企业5次，不断提升物业管理和服务水平。</w:t>
            </w:r>
            <w:bookmarkEnd w:id="6"/>
          </w:p>
          <w:p>
            <w:pPr>
              <w:widowControl/>
              <w:tabs>
                <w:tab w:val="center" w:pos="947"/>
              </w:tabs>
              <w:spacing w:line="240" w:lineRule="exact"/>
              <w:jc w:val="left"/>
              <w:rPr>
                <w:rFonts w:hint="default" w:ascii="宋体" w:hAnsi="宋体" w:eastAsia="宋体" w:cs="宋体"/>
                <w:color w:val="000000"/>
                <w:kern w:val="0"/>
                <w:sz w:val="18"/>
                <w:szCs w:val="18"/>
                <w:lang w:val="en-US" w:eastAsia="zh-CN"/>
              </w:rPr>
            </w:pPr>
          </w:p>
        </w:tc>
      </w:tr>
      <w:tr>
        <w:tblPrEx>
          <w:tblLayout w:type="fixed"/>
          <w:tblCellMar>
            <w:top w:w="0" w:type="dxa"/>
            <w:left w:w="108" w:type="dxa"/>
            <w:bottom w:w="0" w:type="dxa"/>
            <w:right w:w="108" w:type="dxa"/>
          </w:tblCellMar>
        </w:tblPrEx>
        <w:trPr>
          <w:trHeight w:val="860" w:hRule="exact"/>
          <w:jc w:val="center"/>
        </w:trPr>
        <w:tc>
          <w:tcPr>
            <w:tcW w:w="57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rPr>
            </w:pPr>
            <w:r>
              <w:rPr>
                <w:rFonts w:hint="eastAsia"/>
              </w:rPr>
              <w:t>绩</w:t>
            </w:r>
            <w:r>
              <w:rPr>
                <w:rFonts w:hint="eastAsia"/>
              </w:rPr>
              <w:br w:type="textWrapping"/>
            </w:r>
            <w:r>
              <w:rPr>
                <w:rFonts w:hint="eastAsia"/>
              </w:rPr>
              <w:t>效</w:t>
            </w:r>
            <w:r>
              <w:rPr>
                <w:rFonts w:hint="eastAsia"/>
              </w:rPr>
              <w:br w:type="textWrapping"/>
            </w:r>
            <w:r>
              <w:rPr>
                <w:rFonts w:hint="eastAsia"/>
              </w:rPr>
              <w:t>指</w:t>
            </w:r>
            <w:r>
              <w:rPr>
                <w:rFonts w:hint="eastAsia"/>
              </w:rPr>
              <w:br w:type="textWrapping"/>
            </w:r>
            <w:r>
              <w:rPr>
                <w:rFonts w:hint="eastAsia"/>
              </w:rPr>
              <w:t>标</w:t>
            </w:r>
          </w:p>
        </w:tc>
        <w:tc>
          <w:tcPr>
            <w:tcW w:w="963"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rPr>
            </w:pPr>
            <w:r>
              <w:rPr>
                <w:rFonts w:hint="eastAsia"/>
              </w:rPr>
              <w:t>一级指标</w:t>
            </w:r>
          </w:p>
        </w:tc>
        <w:tc>
          <w:tcPr>
            <w:tcW w:w="1092"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rPr>
            </w:pPr>
            <w:r>
              <w:rPr>
                <w:rFonts w:hint="eastAsia"/>
              </w:rPr>
              <w:t>二级指标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rPr>
            </w:pPr>
            <w:r>
              <w:rPr>
                <w:rFonts w:hint="eastAsia"/>
              </w:rPr>
              <w:t>三级指标</w:t>
            </w:r>
          </w:p>
        </w:tc>
        <w:tc>
          <w:tcPr>
            <w:tcW w:w="1143"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rPr>
            </w:pPr>
            <w:r>
              <w:rPr>
                <w:rFonts w:hint="eastAsia"/>
              </w:rPr>
              <w:t>年度</w:t>
            </w:r>
          </w:p>
          <w:p>
            <w:pPr>
              <w:widowControl/>
              <w:spacing w:line="240" w:lineRule="exact"/>
              <w:jc w:val="left"/>
              <w:rPr>
                <w:rFonts w:hint="eastAsia"/>
              </w:rPr>
            </w:pPr>
            <w:r>
              <w:rPr>
                <w:rFonts w:hint="eastAsia"/>
              </w:rPr>
              <w:t>指标值</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lang w:val="en-US" w:eastAsia="zh-CN"/>
              </w:rPr>
            </w:pPr>
            <w:r>
              <w:rPr>
                <w:rFonts w:hint="eastAsia"/>
                <w:lang w:val="en-US" w:eastAsia="zh-CN"/>
              </w:rPr>
              <w:t>实际</w:t>
            </w:r>
          </w:p>
          <w:p>
            <w:pPr>
              <w:widowControl/>
              <w:spacing w:line="240" w:lineRule="exact"/>
              <w:jc w:val="left"/>
              <w:rPr>
                <w:rFonts w:hint="eastAsia"/>
                <w:lang w:val="en-US" w:eastAsia="zh-CN"/>
              </w:rPr>
            </w:pPr>
            <w:r>
              <w:rPr>
                <w:rFonts w:hint="eastAsia"/>
                <w:lang w:val="en-US" w:eastAsia="zh-CN"/>
              </w:rPr>
              <w:t>完成值</w:t>
            </w:r>
          </w:p>
        </w:tc>
        <w:tc>
          <w:tcPr>
            <w:tcW w:w="6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lang w:val="en-US" w:eastAsia="zh-CN"/>
              </w:rPr>
            </w:pPr>
            <w:r>
              <w:rPr>
                <w:rFonts w:hint="eastAsia"/>
                <w:lang w:val="en-US" w:eastAsia="zh-CN"/>
              </w:rPr>
              <w:t>分值</w:t>
            </w:r>
          </w:p>
        </w:tc>
        <w:tc>
          <w:tcPr>
            <w:tcW w:w="6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lang w:val="en-US" w:eastAsia="zh-CN"/>
              </w:rPr>
            </w:pPr>
            <w:r>
              <w:rPr>
                <w:rFonts w:hint="eastAsia"/>
                <w:lang w:val="en-US" w:eastAsia="zh-CN"/>
              </w:rPr>
              <w:t>得分</w:t>
            </w:r>
          </w:p>
        </w:tc>
        <w:tc>
          <w:tcPr>
            <w:tcW w:w="104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lang w:val="en-US" w:eastAsia="zh-CN"/>
              </w:rPr>
            </w:pPr>
            <w:r>
              <w:rPr>
                <w:rFonts w:hint="eastAsia"/>
                <w:lang w:val="en-US" w:eastAsia="zh-CN"/>
              </w:rPr>
              <w:t>偏差原因分析及改进措施</w:t>
            </w:r>
          </w:p>
        </w:tc>
      </w:tr>
      <w:tr>
        <w:tblPrEx>
          <w:tblLayout w:type="fixed"/>
          <w:tblCellMar>
            <w:top w:w="0" w:type="dxa"/>
            <w:left w:w="108" w:type="dxa"/>
            <w:bottom w:w="0" w:type="dxa"/>
            <w:right w:w="108" w:type="dxa"/>
          </w:tblCellMar>
        </w:tblPrEx>
        <w:trPr>
          <w:trHeight w:val="791" w:hRule="exact"/>
          <w:jc w:val="center"/>
        </w:trPr>
        <w:tc>
          <w:tcPr>
            <w:tcW w:w="57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092"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1832" w:type="dxa"/>
            <w:gridSpan w:val="2"/>
            <w:tcBorders>
              <w:top w:val="single" w:color="auto" w:sz="4" w:space="0"/>
              <w:left w:val="nil"/>
              <w:bottom w:val="single" w:color="auto" w:sz="4" w:space="0"/>
              <w:right w:val="single" w:color="auto" w:sz="4" w:space="0"/>
            </w:tcBorders>
            <w:vAlign w:val="center"/>
          </w:tcPr>
          <w:p>
            <w:pPr>
              <w:widowControl/>
              <w:tabs>
                <w:tab w:val="center" w:pos="947"/>
              </w:tabs>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eastAsia="zh-CN"/>
              </w:rPr>
              <w:tab/>
            </w:r>
            <w:r>
              <w:rPr>
                <w:rFonts w:hint="eastAsia" w:ascii="宋体" w:hAnsi="宋体" w:eastAsia="宋体" w:cs="宋体"/>
                <w:color w:val="000000"/>
                <w:kern w:val="0"/>
                <w:sz w:val="18"/>
                <w:szCs w:val="18"/>
                <w:lang w:eastAsia="zh-CN"/>
              </w:rPr>
              <w:t>物业管理条例、业主大会宣传活动</w:t>
            </w:r>
          </w:p>
        </w:tc>
        <w:tc>
          <w:tcPr>
            <w:tcW w:w="114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≥2类</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8次</w:t>
            </w:r>
          </w:p>
        </w:tc>
        <w:tc>
          <w:tcPr>
            <w:tcW w:w="6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6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04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lang w:val="en-US" w:eastAsia="zh-CN"/>
              </w:rPr>
            </w:pPr>
          </w:p>
        </w:tc>
      </w:tr>
      <w:tr>
        <w:tblPrEx>
          <w:tblLayout w:type="fixed"/>
          <w:tblCellMar>
            <w:top w:w="0" w:type="dxa"/>
            <w:left w:w="108" w:type="dxa"/>
            <w:bottom w:w="0" w:type="dxa"/>
            <w:right w:w="108" w:type="dxa"/>
          </w:tblCellMar>
        </w:tblPrEx>
        <w:trPr>
          <w:trHeight w:val="64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指标2：物业联盟开展活动</w:t>
            </w:r>
          </w:p>
        </w:tc>
        <w:tc>
          <w:tcPr>
            <w:tcW w:w="114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≥2次</w:t>
            </w:r>
          </w:p>
        </w:tc>
        <w:tc>
          <w:tcPr>
            <w:tcW w:w="97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4次</w:t>
            </w:r>
          </w:p>
        </w:tc>
        <w:tc>
          <w:tcPr>
            <w:tcW w:w="65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10</w:t>
            </w:r>
          </w:p>
        </w:tc>
        <w:tc>
          <w:tcPr>
            <w:tcW w:w="6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w:t>
            </w:r>
          </w:p>
        </w:tc>
        <w:tc>
          <w:tcPr>
            <w:tcW w:w="10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7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指标3：开展业委会、物管会履职辅导活动数量</w:t>
            </w:r>
          </w:p>
        </w:tc>
        <w:tc>
          <w:tcPr>
            <w:tcW w:w="114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≥2次</w:t>
            </w:r>
          </w:p>
        </w:tc>
        <w:tc>
          <w:tcPr>
            <w:tcW w:w="97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8次</w:t>
            </w:r>
          </w:p>
        </w:tc>
        <w:tc>
          <w:tcPr>
            <w:tcW w:w="65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10</w:t>
            </w:r>
          </w:p>
        </w:tc>
        <w:tc>
          <w:tcPr>
            <w:tcW w:w="6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w:t>
            </w:r>
          </w:p>
        </w:tc>
        <w:tc>
          <w:tcPr>
            <w:tcW w:w="10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66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指标4：评价物业服务项目数量</w:t>
            </w:r>
          </w:p>
        </w:tc>
        <w:tc>
          <w:tcPr>
            <w:tcW w:w="114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≥68个</w:t>
            </w:r>
          </w:p>
        </w:tc>
        <w:tc>
          <w:tcPr>
            <w:tcW w:w="97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68个</w:t>
            </w:r>
          </w:p>
        </w:tc>
        <w:tc>
          <w:tcPr>
            <w:tcW w:w="65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10</w:t>
            </w:r>
          </w:p>
        </w:tc>
        <w:tc>
          <w:tcPr>
            <w:tcW w:w="6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w:t>
            </w:r>
          </w:p>
        </w:tc>
        <w:tc>
          <w:tcPr>
            <w:tcW w:w="10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66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指标5：奖励物业项目数量</w:t>
            </w:r>
          </w:p>
        </w:tc>
        <w:tc>
          <w:tcPr>
            <w:tcW w:w="114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≥10个</w:t>
            </w:r>
          </w:p>
        </w:tc>
        <w:tc>
          <w:tcPr>
            <w:tcW w:w="97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10个</w:t>
            </w:r>
          </w:p>
        </w:tc>
        <w:tc>
          <w:tcPr>
            <w:tcW w:w="65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10</w:t>
            </w:r>
          </w:p>
        </w:tc>
        <w:tc>
          <w:tcPr>
            <w:tcW w:w="6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w:t>
            </w:r>
          </w:p>
        </w:tc>
        <w:tc>
          <w:tcPr>
            <w:tcW w:w="10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56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bookmarkStart w:id="7" w:name="OLE_LINK5" w:colFirst="5" w:colLast="5"/>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指标1：活动效果</w:t>
            </w:r>
          </w:p>
        </w:tc>
        <w:tc>
          <w:tcPr>
            <w:tcW w:w="114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达到预期效果</w:t>
            </w:r>
          </w:p>
        </w:tc>
        <w:tc>
          <w:tcPr>
            <w:tcW w:w="9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eastAsia="zh-CN"/>
              </w:rPr>
              <w:t>达到预期效果</w:t>
            </w:r>
          </w:p>
        </w:tc>
        <w:tc>
          <w:tcPr>
            <w:tcW w:w="65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65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0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98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指标1：项目完成时间</w:t>
            </w:r>
          </w:p>
        </w:tc>
        <w:tc>
          <w:tcPr>
            <w:tcW w:w="11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按照合同或实施方案执行</w:t>
            </w:r>
          </w:p>
        </w:tc>
        <w:tc>
          <w:tcPr>
            <w:tcW w:w="9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按照合同或实施方案执行</w:t>
            </w:r>
          </w:p>
        </w:tc>
        <w:tc>
          <w:tcPr>
            <w:tcW w:w="65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65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0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bookmarkEnd w:id="7"/>
      <w:tr>
        <w:tblPrEx>
          <w:tblLayout w:type="fixed"/>
          <w:tblCellMar>
            <w:top w:w="0" w:type="dxa"/>
            <w:left w:w="108" w:type="dxa"/>
            <w:bottom w:w="0" w:type="dxa"/>
            <w:right w:w="108" w:type="dxa"/>
          </w:tblCellMar>
        </w:tblPrEx>
        <w:trPr>
          <w:trHeight w:val="71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指标1：项目预算控制数</w:t>
            </w:r>
          </w:p>
        </w:tc>
        <w:tc>
          <w:tcPr>
            <w:tcW w:w="114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≤96.50万</w:t>
            </w:r>
            <w:r>
              <w:rPr>
                <w:rFonts w:hint="eastAsia" w:ascii="宋体" w:hAnsi="宋体" w:eastAsia="宋体" w:cs="宋体"/>
                <w:kern w:val="0"/>
                <w:sz w:val="18"/>
                <w:szCs w:val="18"/>
                <w:lang w:eastAsia="zh-CN"/>
              </w:rPr>
              <w:t>元</w:t>
            </w:r>
          </w:p>
        </w:tc>
        <w:tc>
          <w:tcPr>
            <w:tcW w:w="97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96.484229</w:t>
            </w:r>
            <w:r>
              <w:rPr>
                <w:rFonts w:hint="eastAsia" w:ascii="宋体" w:hAnsi="宋体" w:eastAsia="宋体" w:cs="宋体"/>
                <w:kern w:val="0"/>
                <w:sz w:val="18"/>
                <w:szCs w:val="18"/>
                <w:lang w:eastAsia="zh-CN"/>
              </w:rPr>
              <w:t>元</w:t>
            </w:r>
          </w:p>
        </w:tc>
        <w:tc>
          <w:tcPr>
            <w:tcW w:w="6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6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0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650"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bookmarkStart w:id="8" w:name="OLE_LINK2" w:colFirst="5" w:colLast="7"/>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指标1：规范物业管理各方主体行为，让《条例》的各项规定都能落到实处。</w:t>
            </w:r>
          </w:p>
        </w:tc>
        <w:tc>
          <w:tcPr>
            <w:tcW w:w="11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eastAsia="宋体" w:cs="宋体"/>
                <w:kern w:val="0"/>
                <w:sz w:val="18"/>
                <w:szCs w:val="18"/>
              </w:rPr>
              <w:t>达到预期效果</w:t>
            </w:r>
          </w:p>
        </w:tc>
        <w:tc>
          <w:tcPr>
            <w:tcW w:w="97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lang w:val="en-US" w:eastAsia="zh-CN"/>
              </w:rPr>
              <w:t>开展政策法规宣讲及业务知识培训，</w:t>
            </w:r>
            <w:r>
              <w:rPr>
                <w:rFonts w:hint="eastAsia" w:ascii="宋体" w:hAnsi="宋体" w:eastAsia="宋体" w:cs="宋体"/>
                <w:color w:val="000000"/>
                <w:kern w:val="0"/>
                <w:sz w:val="18"/>
                <w:szCs w:val="18"/>
              </w:rPr>
              <w:t>达到预期效果</w:t>
            </w:r>
          </w:p>
        </w:tc>
        <w:tc>
          <w:tcPr>
            <w:tcW w:w="65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65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0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bookmarkEnd w:id="8"/>
      <w:tr>
        <w:tblPrEx>
          <w:tblLayout w:type="fixed"/>
          <w:tblCellMar>
            <w:top w:w="0" w:type="dxa"/>
            <w:left w:w="108" w:type="dxa"/>
            <w:bottom w:w="0" w:type="dxa"/>
            <w:right w:w="108" w:type="dxa"/>
          </w:tblCellMar>
        </w:tblPrEx>
        <w:trPr>
          <w:trHeight w:val="345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bookmarkStart w:id="9" w:name="OLE_LINK3" w:colFirst="5" w:colLast="7"/>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指标2：优化居住小区物业服务品质，提升小区居民的幸福感、安全感、切实解决物业管理等社区治理难题，及时掌握业主对物业服务的意见。</w:t>
            </w:r>
          </w:p>
        </w:tc>
        <w:tc>
          <w:tcPr>
            <w:tcW w:w="11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eastAsia="宋体" w:cs="宋体"/>
                <w:kern w:val="0"/>
                <w:sz w:val="18"/>
                <w:szCs w:val="18"/>
              </w:rPr>
              <w:t>达到预期效果</w:t>
            </w:r>
          </w:p>
        </w:tc>
        <w:tc>
          <w:tcPr>
            <w:tcW w:w="97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lang w:val="en-US" w:eastAsia="zh-CN"/>
              </w:rPr>
              <w:t>定期组织政策法规、沟通技巧培训，开展业务交流沙龙，提升企业归属感、认同感，提升行业凝聚力、影响力</w:t>
            </w:r>
          </w:p>
        </w:tc>
        <w:tc>
          <w:tcPr>
            <w:tcW w:w="6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5</w:t>
            </w:r>
          </w:p>
        </w:tc>
        <w:tc>
          <w:tcPr>
            <w:tcW w:w="6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5</w:t>
            </w:r>
          </w:p>
        </w:tc>
        <w:tc>
          <w:tcPr>
            <w:tcW w:w="10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bookmarkEnd w:id="9"/>
      <w:tr>
        <w:tblPrEx>
          <w:tblLayout w:type="fixed"/>
          <w:tblCellMar>
            <w:top w:w="0" w:type="dxa"/>
            <w:left w:w="108" w:type="dxa"/>
            <w:bottom w:w="0" w:type="dxa"/>
            <w:right w:w="108" w:type="dxa"/>
          </w:tblCellMar>
        </w:tblPrEx>
        <w:trPr>
          <w:trHeight w:val="111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可持续影响指标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指标1：推动业委会、物管会规范高效组建和履职，不断提升物业管理工作成效。</w:t>
            </w:r>
          </w:p>
        </w:tc>
        <w:tc>
          <w:tcPr>
            <w:tcW w:w="11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eastAsia="宋体" w:cs="宋体"/>
                <w:kern w:val="0"/>
                <w:sz w:val="18"/>
                <w:szCs w:val="18"/>
              </w:rPr>
              <w:t>达到预期效果</w:t>
            </w:r>
          </w:p>
        </w:tc>
        <w:tc>
          <w:tcPr>
            <w:tcW w:w="9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达到预期效果</w:t>
            </w:r>
          </w:p>
        </w:tc>
        <w:tc>
          <w:tcPr>
            <w:tcW w:w="6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5</w:t>
            </w:r>
          </w:p>
        </w:tc>
        <w:tc>
          <w:tcPr>
            <w:tcW w:w="6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5</w:t>
            </w:r>
          </w:p>
        </w:tc>
        <w:tc>
          <w:tcPr>
            <w:tcW w:w="10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4154"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指标2：通过物业联盟，让地区物业企业密切联系、通力配合，实现资源共享、谋求共同发展，整体提升广外地区的物业管理水平。</w:t>
            </w:r>
          </w:p>
        </w:tc>
        <w:tc>
          <w:tcPr>
            <w:tcW w:w="11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eastAsia="宋体" w:cs="宋体"/>
                <w:kern w:val="0"/>
                <w:sz w:val="18"/>
                <w:szCs w:val="18"/>
              </w:rPr>
              <w:t>达到预期效果</w:t>
            </w:r>
          </w:p>
        </w:tc>
        <w:tc>
          <w:tcPr>
            <w:tcW w:w="9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color w:val="000000"/>
                <w:kern w:val="0"/>
                <w:sz w:val="18"/>
                <w:szCs w:val="18"/>
                <w:lang w:val="en-US" w:eastAsia="zh-CN"/>
              </w:rPr>
              <w:t>全年共“吹哨”30余次，参加社区物业管理类协调、沟通会议70余次，组织联合执法检查5次，约谈物业企业5次，不断提升物业管理和服务</w:t>
            </w:r>
            <w:r>
              <w:rPr>
                <w:rFonts w:hint="eastAsia"/>
                <w:lang w:val="en-US" w:eastAsia="zh-CN"/>
              </w:rPr>
              <w:t>水平。</w:t>
            </w:r>
          </w:p>
        </w:tc>
        <w:tc>
          <w:tcPr>
            <w:tcW w:w="6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5</w:t>
            </w:r>
          </w:p>
        </w:tc>
        <w:tc>
          <w:tcPr>
            <w:tcW w:w="6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5</w:t>
            </w:r>
          </w:p>
        </w:tc>
        <w:tc>
          <w:tcPr>
            <w:tcW w:w="10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546" w:hRule="exact"/>
          <w:jc w:val="center"/>
        </w:trPr>
        <w:tc>
          <w:tcPr>
            <w:tcW w:w="6583"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6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lang w:val="en-US" w:eastAsia="zh-CN"/>
              </w:rPr>
              <w:t>10</w:t>
            </w:r>
            <w:r>
              <w:rPr>
                <w:rFonts w:hint="eastAsia" w:ascii="宋体" w:hAnsi="宋体" w:eastAsia="宋体" w:cs="宋体"/>
                <w:color w:val="000000"/>
                <w:kern w:val="0"/>
                <w:sz w:val="18"/>
                <w:szCs w:val="18"/>
              </w:rPr>
              <w:t>0</w:t>
            </w:r>
          </w:p>
        </w:tc>
        <w:tc>
          <w:tcPr>
            <w:tcW w:w="6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99.99</w:t>
            </w:r>
          </w:p>
        </w:tc>
        <w:tc>
          <w:tcPr>
            <w:tcW w:w="10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bl>
    <w:p>
      <w:pPr>
        <w:spacing w:line="600" w:lineRule="exact"/>
        <w:rPr>
          <w:rFonts w:ascii="宋体" w:hAnsi="宋体" w:eastAsia="宋体" w:cs="宋体"/>
          <w:b/>
          <w:color w:val="000000"/>
          <w:kern w:val="0"/>
          <w:sz w:val="22"/>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928"/>
    <w:rsid w:val="000002ED"/>
    <w:rsid w:val="0000126F"/>
    <w:rsid w:val="00001663"/>
    <w:rsid w:val="00001D0E"/>
    <w:rsid w:val="00002014"/>
    <w:rsid w:val="0000254F"/>
    <w:rsid w:val="000031E8"/>
    <w:rsid w:val="00003A66"/>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572B"/>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4087"/>
    <w:rsid w:val="00084E5D"/>
    <w:rsid w:val="00085921"/>
    <w:rsid w:val="00085AA1"/>
    <w:rsid w:val="0008798C"/>
    <w:rsid w:val="00087D15"/>
    <w:rsid w:val="00091206"/>
    <w:rsid w:val="00093B96"/>
    <w:rsid w:val="00095A71"/>
    <w:rsid w:val="000A0263"/>
    <w:rsid w:val="000A0A54"/>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395F"/>
    <w:rsid w:val="000C495F"/>
    <w:rsid w:val="000C5E07"/>
    <w:rsid w:val="000D0B2A"/>
    <w:rsid w:val="000D5E4B"/>
    <w:rsid w:val="000D66D8"/>
    <w:rsid w:val="000D6D70"/>
    <w:rsid w:val="000D77C9"/>
    <w:rsid w:val="000E04DB"/>
    <w:rsid w:val="000E08C3"/>
    <w:rsid w:val="000E2B56"/>
    <w:rsid w:val="000E2CB7"/>
    <w:rsid w:val="000E3F05"/>
    <w:rsid w:val="000E5FF5"/>
    <w:rsid w:val="000E786D"/>
    <w:rsid w:val="000F1042"/>
    <w:rsid w:val="000F131B"/>
    <w:rsid w:val="000F54DB"/>
    <w:rsid w:val="00101FFE"/>
    <w:rsid w:val="00103A90"/>
    <w:rsid w:val="00104928"/>
    <w:rsid w:val="00104BFC"/>
    <w:rsid w:val="00104CCD"/>
    <w:rsid w:val="00105C64"/>
    <w:rsid w:val="00106556"/>
    <w:rsid w:val="00106AF6"/>
    <w:rsid w:val="00107A8D"/>
    <w:rsid w:val="00107C70"/>
    <w:rsid w:val="001113F4"/>
    <w:rsid w:val="001116D1"/>
    <w:rsid w:val="001123D1"/>
    <w:rsid w:val="00113374"/>
    <w:rsid w:val="00113CEB"/>
    <w:rsid w:val="0011570E"/>
    <w:rsid w:val="00115D5B"/>
    <w:rsid w:val="001166B1"/>
    <w:rsid w:val="001169C1"/>
    <w:rsid w:val="001176E3"/>
    <w:rsid w:val="00117776"/>
    <w:rsid w:val="00120F94"/>
    <w:rsid w:val="00121A22"/>
    <w:rsid w:val="00122704"/>
    <w:rsid w:val="00123CCA"/>
    <w:rsid w:val="00124186"/>
    <w:rsid w:val="001247D1"/>
    <w:rsid w:val="001260AB"/>
    <w:rsid w:val="00126A9B"/>
    <w:rsid w:val="00126DEF"/>
    <w:rsid w:val="00130544"/>
    <w:rsid w:val="0013659E"/>
    <w:rsid w:val="00140808"/>
    <w:rsid w:val="0014153C"/>
    <w:rsid w:val="001415E1"/>
    <w:rsid w:val="001426DD"/>
    <w:rsid w:val="00142745"/>
    <w:rsid w:val="00143431"/>
    <w:rsid w:val="00143432"/>
    <w:rsid w:val="00145C45"/>
    <w:rsid w:val="00150F33"/>
    <w:rsid w:val="00151812"/>
    <w:rsid w:val="0015212C"/>
    <w:rsid w:val="00153674"/>
    <w:rsid w:val="00155144"/>
    <w:rsid w:val="00156CDA"/>
    <w:rsid w:val="00157A26"/>
    <w:rsid w:val="001611FF"/>
    <w:rsid w:val="00167B73"/>
    <w:rsid w:val="00171175"/>
    <w:rsid w:val="00173400"/>
    <w:rsid w:val="00173922"/>
    <w:rsid w:val="00176E93"/>
    <w:rsid w:val="00177803"/>
    <w:rsid w:val="0018057E"/>
    <w:rsid w:val="0018146E"/>
    <w:rsid w:val="00181629"/>
    <w:rsid w:val="00181C33"/>
    <w:rsid w:val="00186309"/>
    <w:rsid w:val="001868F8"/>
    <w:rsid w:val="00186F89"/>
    <w:rsid w:val="00190AC5"/>
    <w:rsid w:val="0019193D"/>
    <w:rsid w:val="0019320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76DF"/>
    <w:rsid w:val="001D7928"/>
    <w:rsid w:val="001E4C81"/>
    <w:rsid w:val="001E4ECF"/>
    <w:rsid w:val="001E5C0D"/>
    <w:rsid w:val="001E75E9"/>
    <w:rsid w:val="001E7C1B"/>
    <w:rsid w:val="001F05C0"/>
    <w:rsid w:val="001F31CB"/>
    <w:rsid w:val="001F5BA3"/>
    <w:rsid w:val="001F5FB5"/>
    <w:rsid w:val="001F672C"/>
    <w:rsid w:val="002025E4"/>
    <w:rsid w:val="002035A1"/>
    <w:rsid w:val="00204158"/>
    <w:rsid w:val="0020514B"/>
    <w:rsid w:val="00205364"/>
    <w:rsid w:val="002054CA"/>
    <w:rsid w:val="00206CDB"/>
    <w:rsid w:val="0021692A"/>
    <w:rsid w:val="00217437"/>
    <w:rsid w:val="0022084B"/>
    <w:rsid w:val="00222ECC"/>
    <w:rsid w:val="002248A2"/>
    <w:rsid w:val="0022592D"/>
    <w:rsid w:val="00227ABF"/>
    <w:rsid w:val="002310B8"/>
    <w:rsid w:val="00234606"/>
    <w:rsid w:val="00234D88"/>
    <w:rsid w:val="002364C6"/>
    <w:rsid w:val="00237372"/>
    <w:rsid w:val="00240D36"/>
    <w:rsid w:val="002429E1"/>
    <w:rsid w:val="002461D1"/>
    <w:rsid w:val="00250622"/>
    <w:rsid w:val="00251BFA"/>
    <w:rsid w:val="00251E9A"/>
    <w:rsid w:val="00251FC5"/>
    <w:rsid w:val="00252A4D"/>
    <w:rsid w:val="0025658E"/>
    <w:rsid w:val="00256D9B"/>
    <w:rsid w:val="00261FD1"/>
    <w:rsid w:val="00262414"/>
    <w:rsid w:val="00263A48"/>
    <w:rsid w:val="00266609"/>
    <w:rsid w:val="00267503"/>
    <w:rsid w:val="00267A31"/>
    <w:rsid w:val="002718BA"/>
    <w:rsid w:val="00271B52"/>
    <w:rsid w:val="00271EB1"/>
    <w:rsid w:val="00272F27"/>
    <w:rsid w:val="00273F1E"/>
    <w:rsid w:val="0027612A"/>
    <w:rsid w:val="00276851"/>
    <w:rsid w:val="00277DCF"/>
    <w:rsid w:val="00282039"/>
    <w:rsid w:val="00284AE2"/>
    <w:rsid w:val="0028694E"/>
    <w:rsid w:val="00286B21"/>
    <w:rsid w:val="002870BE"/>
    <w:rsid w:val="00287203"/>
    <w:rsid w:val="002878F5"/>
    <w:rsid w:val="0029006E"/>
    <w:rsid w:val="00292A2A"/>
    <w:rsid w:val="00294F37"/>
    <w:rsid w:val="002966C9"/>
    <w:rsid w:val="0029688E"/>
    <w:rsid w:val="002A0A31"/>
    <w:rsid w:val="002A0BD3"/>
    <w:rsid w:val="002A4589"/>
    <w:rsid w:val="002A4FFC"/>
    <w:rsid w:val="002A5391"/>
    <w:rsid w:val="002A70E7"/>
    <w:rsid w:val="002B079B"/>
    <w:rsid w:val="002B2F15"/>
    <w:rsid w:val="002B3B4D"/>
    <w:rsid w:val="002B3E0C"/>
    <w:rsid w:val="002B6001"/>
    <w:rsid w:val="002B6CA0"/>
    <w:rsid w:val="002B7265"/>
    <w:rsid w:val="002B7365"/>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7892"/>
    <w:rsid w:val="002E790A"/>
    <w:rsid w:val="002F00D4"/>
    <w:rsid w:val="002F48E4"/>
    <w:rsid w:val="002F5DD8"/>
    <w:rsid w:val="002F6139"/>
    <w:rsid w:val="0030041C"/>
    <w:rsid w:val="00301CB5"/>
    <w:rsid w:val="003024BE"/>
    <w:rsid w:val="00305599"/>
    <w:rsid w:val="003060D0"/>
    <w:rsid w:val="0031050E"/>
    <w:rsid w:val="003116F6"/>
    <w:rsid w:val="00312845"/>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417E"/>
    <w:rsid w:val="003559A5"/>
    <w:rsid w:val="00355FD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6793"/>
    <w:rsid w:val="00387EE4"/>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D1F85"/>
    <w:rsid w:val="003D3738"/>
    <w:rsid w:val="003D3A9B"/>
    <w:rsid w:val="003D5999"/>
    <w:rsid w:val="003D66C4"/>
    <w:rsid w:val="003E1946"/>
    <w:rsid w:val="003E1FD2"/>
    <w:rsid w:val="003E28F5"/>
    <w:rsid w:val="003E3597"/>
    <w:rsid w:val="003E381D"/>
    <w:rsid w:val="003E4416"/>
    <w:rsid w:val="003E4880"/>
    <w:rsid w:val="003E61B2"/>
    <w:rsid w:val="003E6FA4"/>
    <w:rsid w:val="003E768A"/>
    <w:rsid w:val="003F23D1"/>
    <w:rsid w:val="003F317A"/>
    <w:rsid w:val="003F5BF5"/>
    <w:rsid w:val="003F7D0B"/>
    <w:rsid w:val="00404369"/>
    <w:rsid w:val="00406930"/>
    <w:rsid w:val="00406BFC"/>
    <w:rsid w:val="00406CC5"/>
    <w:rsid w:val="0040752B"/>
    <w:rsid w:val="00407FF7"/>
    <w:rsid w:val="00410FB8"/>
    <w:rsid w:val="004138E8"/>
    <w:rsid w:val="004155BB"/>
    <w:rsid w:val="004164E7"/>
    <w:rsid w:val="00416A3D"/>
    <w:rsid w:val="004202C3"/>
    <w:rsid w:val="00420BE0"/>
    <w:rsid w:val="00425424"/>
    <w:rsid w:val="00427E44"/>
    <w:rsid w:val="00431188"/>
    <w:rsid w:val="00432B3A"/>
    <w:rsid w:val="0043334B"/>
    <w:rsid w:val="004349C5"/>
    <w:rsid w:val="00435D50"/>
    <w:rsid w:val="00435F4B"/>
    <w:rsid w:val="004366CD"/>
    <w:rsid w:val="004368F4"/>
    <w:rsid w:val="00437F4D"/>
    <w:rsid w:val="004403E7"/>
    <w:rsid w:val="004404D3"/>
    <w:rsid w:val="00446E6B"/>
    <w:rsid w:val="004528EE"/>
    <w:rsid w:val="0045358F"/>
    <w:rsid w:val="0045362E"/>
    <w:rsid w:val="00454A87"/>
    <w:rsid w:val="004551C8"/>
    <w:rsid w:val="00455A65"/>
    <w:rsid w:val="00456C1D"/>
    <w:rsid w:val="00457030"/>
    <w:rsid w:val="004627F3"/>
    <w:rsid w:val="00462973"/>
    <w:rsid w:val="00462AC3"/>
    <w:rsid w:val="00462C6C"/>
    <w:rsid w:val="004633DC"/>
    <w:rsid w:val="00465E14"/>
    <w:rsid w:val="00467EFD"/>
    <w:rsid w:val="004716FC"/>
    <w:rsid w:val="004735B0"/>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5232B"/>
    <w:rsid w:val="0055383E"/>
    <w:rsid w:val="005538E7"/>
    <w:rsid w:val="005562C3"/>
    <w:rsid w:val="00556F50"/>
    <w:rsid w:val="00557AB6"/>
    <w:rsid w:val="00557EBF"/>
    <w:rsid w:val="00560C92"/>
    <w:rsid w:val="00562A7B"/>
    <w:rsid w:val="00562A8B"/>
    <w:rsid w:val="00566644"/>
    <w:rsid w:val="0056755E"/>
    <w:rsid w:val="0057019F"/>
    <w:rsid w:val="00570893"/>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7C66"/>
    <w:rsid w:val="005C28E6"/>
    <w:rsid w:val="005C3F09"/>
    <w:rsid w:val="005C4A93"/>
    <w:rsid w:val="005C6846"/>
    <w:rsid w:val="005C6E09"/>
    <w:rsid w:val="005C73CB"/>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2B3D"/>
    <w:rsid w:val="00624D8C"/>
    <w:rsid w:val="00625E6B"/>
    <w:rsid w:val="0062668E"/>
    <w:rsid w:val="00627E25"/>
    <w:rsid w:val="00633732"/>
    <w:rsid w:val="00633A82"/>
    <w:rsid w:val="00635DA8"/>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780"/>
    <w:rsid w:val="006724C7"/>
    <w:rsid w:val="00672968"/>
    <w:rsid w:val="00673AED"/>
    <w:rsid w:val="00675200"/>
    <w:rsid w:val="006758B8"/>
    <w:rsid w:val="006758CE"/>
    <w:rsid w:val="00675923"/>
    <w:rsid w:val="00684A17"/>
    <w:rsid w:val="006914C4"/>
    <w:rsid w:val="00692F38"/>
    <w:rsid w:val="00692F45"/>
    <w:rsid w:val="00693428"/>
    <w:rsid w:val="00694EED"/>
    <w:rsid w:val="006A0033"/>
    <w:rsid w:val="006A02E3"/>
    <w:rsid w:val="006A2B6C"/>
    <w:rsid w:val="006A728E"/>
    <w:rsid w:val="006A72AE"/>
    <w:rsid w:val="006B07D9"/>
    <w:rsid w:val="006B0F0D"/>
    <w:rsid w:val="006B28B6"/>
    <w:rsid w:val="006B32D1"/>
    <w:rsid w:val="006B404E"/>
    <w:rsid w:val="006B52D8"/>
    <w:rsid w:val="006B7D2F"/>
    <w:rsid w:val="006C03C7"/>
    <w:rsid w:val="006C05FF"/>
    <w:rsid w:val="006C0CCA"/>
    <w:rsid w:val="006C11FC"/>
    <w:rsid w:val="006C2112"/>
    <w:rsid w:val="006C4CD2"/>
    <w:rsid w:val="006C670A"/>
    <w:rsid w:val="006D0F4E"/>
    <w:rsid w:val="006D16B4"/>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61B8"/>
    <w:rsid w:val="007169A5"/>
    <w:rsid w:val="00720A7B"/>
    <w:rsid w:val="00722F60"/>
    <w:rsid w:val="00723403"/>
    <w:rsid w:val="007240AB"/>
    <w:rsid w:val="0072509A"/>
    <w:rsid w:val="007269F5"/>
    <w:rsid w:val="00727848"/>
    <w:rsid w:val="007300C7"/>
    <w:rsid w:val="00731E3A"/>
    <w:rsid w:val="00732FD6"/>
    <w:rsid w:val="00733699"/>
    <w:rsid w:val="00734A88"/>
    <w:rsid w:val="00735FA3"/>
    <w:rsid w:val="007366A8"/>
    <w:rsid w:val="00736EB5"/>
    <w:rsid w:val="00740AE8"/>
    <w:rsid w:val="00741A14"/>
    <w:rsid w:val="00744253"/>
    <w:rsid w:val="007467C5"/>
    <w:rsid w:val="0074774B"/>
    <w:rsid w:val="00750162"/>
    <w:rsid w:val="0075196F"/>
    <w:rsid w:val="00752CCA"/>
    <w:rsid w:val="00753484"/>
    <w:rsid w:val="00754433"/>
    <w:rsid w:val="007549A4"/>
    <w:rsid w:val="00755F04"/>
    <w:rsid w:val="00756188"/>
    <w:rsid w:val="00760EB9"/>
    <w:rsid w:val="00761A47"/>
    <w:rsid w:val="007621BB"/>
    <w:rsid w:val="00762949"/>
    <w:rsid w:val="00763406"/>
    <w:rsid w:val="007636D0"/>
    <w:rsid w:val="00764384"/>
    <w:rsid w:val="007644F9"/>
    <w:rsid w:val="00764577"/>
    <w:rsid w:val="00786464"/>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A37"/>
    <w:rsid w:val="007E7758"/>
    <w:rsid w:val="007E7B7D"/>
    <w:rsid w:val="007F12B6"/>
    <w:rsid w:val="007F2128"/>
    <w:rsid w:val="007F227C"/>
    <w:rsid w:val="007F278F"/>
    <w:rsid w:val="007F3F79"/>
    <w:rsid w:val="007F51A8"/>
    <w:rsid w:val="007F6910"/>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EAC"/>
    <w:rsid w:val="00857E4C"/>
    <w:rsid w:val="0086003F"/>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1C29"/>
    <w:rsid w:val="008E1F63"/>
    <w:rsid w:val="008E2DF0"/>
    <w:rsid w:val="008E5D17"/>
    <w:rsid w:val="008E6EBE"/>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6EBB"/>
    <w:rsid w:val="00926FBA"/>
    <w:rsid w:val="0092710D"/>
    <w:rsid w:val="00931442"/>
    <w:rsid w:val="0093321F"/>
    <w:rsid w:val="0093495A"/>
    <w:rsid w:val="0093680E"/>
    <w:rsid w:val="00942771"/>
    <w:rsid w:val="00942A7C"/>
    <w:rsid w:val="00943D27"/>
    <w:rsid w:val="009445A5"/>
    <w:rsid w:val="0094568E"/>
    <w:rsid w:val="00946008"/>
    <w:rsid w:val="00946325"/>
    <w:rsid w:val="00946EEE"/>
    <w:rsid w:val="009475DD"/>
    <w:rsid w:val="0095221D"/>
    <w:rsid w:val="009528B4"/>
    <w:rsid w:val="00952E68"/>
    <w:rsid w:val="00953323"/>
    <w:rsid w:val="00954A6B"/>
    <w:rsid w:val="009560D4"/>
    <w:rsid w:val="009577E4"/>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3157"/>
    <w:rsid w:val="0099451F"/>
    <w:rsid w:val="00994610"/>
    <w:rsid w:val="009956D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780E"/>
    <w:rsid w:val="009B7F81"/>
    <w:rsid w:val="009C0A32"/>
    <w:rsid w:val="009C0BB6"/>
    <w:rsid w:val="009C1090"/>
    <w:rsid w:val="009C3762"/>
    <w:rsid w:val="009C55C5"/>
    <w:rsid w:val="009C775D"/>
    <w:rsid w:val="009D0444"/>
    <w:rsid w:val="009D0BD3"/>
    <w:rsid w:val="009D134E"/>
    <w:rsid w:val="009D19EC"/>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65E0"/>
    <w:rsid w:val="00A3754D"/>
    <w:rsid w:val="00A37CE0"/>
    <w:rsid w:val="00A40129"/>
    <w:rsid w:val="00A421FC"/>
    <w:rsid w:val="00A42C40"/>
    <w:rsid w:val="00A43DFF"/>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17BC"/>
    <w:rsid w:val="00A63494"/>
    <w:rsid w:val="00A63C84"/>
    <w:rsid w:val="00A649B7"/>
    <w:rsid w:val="00A64A82"/>
    <w:rsid w:val="00A64B20"/>
    <w:rsid w:val="00A65558"/>
    <w:rsid w:val="00A72976"/>
    <w:rsid w:val="00A72B6A"/>
    <w:rsid w:val="00A73549"/>
    <w:rsid w:val="00A74EE7"/>
    <w:rsid w:val="00A759C6"/>
    <w:rsid w:val="00A8114D"/>
    <w:rsid w:val="00A816F9"/>
    <w:rsid w:val="00A82B88"/>
    <w:rsid w:val="00A86614"/>
    <w:rsid w:val="00A87737"/>
    <w:rsid w:val="00A91A3D"/>
    <w:rsid w:val="00A942C3"/>
    <w:rsid w:val="00A9449A"/>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31C"/>
    <w:rsid w:val="00AD154C"/>
    <w:rsid w:val="00AD1C14"/>
    <w:rsid w:val="00AD2F79"/>
    <w:rsid w:val="00AD39C4"/>
    <w:rsid w:val="00AD43A4"/>
    <w:rsid w:val="00AD4C6A"/>
    <w:rsid w:val="00AD561E"/>
    <w:rsid w:val="00AD5E3F"/>
    <w:rsid w:val="00AD7D0D"/>
    <w:rsid w:val="00AE0D7C"/>
    <w:rsid w:val="00AE30BE"/>
    <w:rsid w:val="00AE50C0"/>
    <w:rsid w:val="00AE5C6E"/>
    <w:rsid w:val="00AE62CB"/>
    <w:rsid w:val="00AE75C2"/>
    <w:rsid w:val="00AF02C4"/>
    <w:rsid w:val="00AF1084"/>
    <w:rsid w:val="00AF1754"/>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3952"/>
    <w:rsid w:val="00B14279"/>
    <w:rsid w:val="00B14427"/>
    <w:rsid w:val="00B15A75"/>
    <w:rsid w:val="00B16817"/>
    <w:rsid w:val="00B17739"/>
    <w:rsid w:val="00B17BDA"/>
    <w:rsid w:val="00B20D4E"/>
    <w:rsid w:val="00B21584"/>
    <w:rsid w:val="00B21BC0"/>
    <w:rsid w:val="00B2215B"/>
    <w:rsid w:val="00B25966"/>
    <w:rsid w:val="00B26161"/>
    <w:rsid w:val="00B306B8"/>
    <w:rsid w:val="00B32D50"/>
    <w:rsid w:val="00B34870"/>
    <w:rsid w:val="00B34B24"/>
    <w:rsid w:val="00B34E8F"/>
    <w:rsid w:val="00B3575D"/>
    <w:rsid w:val="00B371B4"/>
    <w:rsid w:val="00B41C1A"/>
    <w:rsid w:val="00B41E64"/>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BC4"/>
    <w:rsid w:val="00B57180"/>
    <w:rsid w:val="00B571AD"/>
    <w:rsid w:val="00B573FF"/>
    <w:rsid w:val="00B60042"/>
    <w:rsid w:val="00B60169"/>
    <w:rsid w:val="00B61A38"/>
    <w:rsid w:val="00B63AE3"/>
    <w:rsid w:val="00B63DC7"/>
    <w:rsid w:val="00B657B4"/>
    <w:rsid w:val="00B659FD"/>
    <w:rsid w:val="00B65C25"/>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33E"/>
    <w:rsid w:val="00BA0682"/>
    <w:rsid w:val="00BA3369"/>
    <w:rsid w:val="00BA38B5"/>
    <w:rsid w:val="00BB0659"/>
    <w:rsid w:val="00BB1701"/>
    <w:rsid w:val="00BB1A97"/>
    <w:rsid w:val="00BB26EB"/>
    <w:rsid w:val="00BB2866"/>
    <w:rsid w:val="00BB3478"/>
    <w:rsid w:val="00BB4A62"/>
    <w:rsid w:val="00BB4B1A"/>
    <w:rsid w:val="00BB4EC0"/>
    <w:rsid w:val="00BB6104"/>
    <w:rsid w:val="00BB66B6"/>
    <w:rsid w:val="00BC0230"/>
    <w:rsid w:val="00BC0E3D"/>
    <w:rsid w:val="00BC265F"/>
    <w:rsid w:val="00BC2B79"/>
    <w:rsid w:val="00BC2C38"/>
    <w:rsid w:val="00BC33C9"/>
    <w:rsid w:val="00BC4AFC"/>
    <w:rsid w:val="00BC5A17"/>
    <w:rsid w:val="00BC7133"/>
    <w:rsid w:val="00BC7530"/>
    <w:rsid w:val="00BD0673"/>
    <w:rsid w:val="00BD3961"/>
    <w:rsid w:val="00BD3F8B"/>
    <w:rsid w:val="00BD44FA"/>
    <w:rsid w:val="00BD4BFB"/>
    <w:rsid w:val="00BD7008"/>
    <w:rsid w:val="00BE054F"/>
    <w:rsid w:val="00BE1E63"/>
    <w:rsid w:val="00BE2A09"/>
    <w:rsid w:val="00BE43F5"/>
    <w:rsid w:val="00BE5538"/>
    <w:rsid w:val="00BE6CBA"/>
    <w:rsid w:val="00BE75C4"/>
    <w:rsid w:val="00BF30D4"/>
    <w:rsid w:val="00BF7CD7"/>
    <w:rsid w:val="00C00830"/>
    <w:rsid w:val="00C0413D"/>
    <w:rsid w:val="00C05986"/>
    <w:rsid w:val="00C07514"/>
    <w:rsid w:val="00C07C88"/>
    <w:rsid w:val="00C108CB"/>
    <w:rsid w:val="00C10BB4"/>
    <w:rsid w:val="00C10EB9"/>
    <w:rsid w:val="00C15555"/>
    <w:rsid w:val="00C20798"/>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B91"/>
    <w:rsid w:val="00C556DC"/>
    <w:rsid w:val="00C57425"/>
    <w:rsid w:val="00C62F6A"/>
    <w:rsid w:val="00C64F23"/>
    <w:rsid w:val="00C66B8F"/>
    <w:rsid w:val="00C66FA4"/>
    <w:rsid w:val="00C67484"/>
    <w:rsid w:val="00C67CD3"/>
    <w:rsid w:val="00C70E3C"/>
    <w:rsid w:val="00C74D80"/>
    <w:rsid w:val="00C766D2"/>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72A5"/>
    <w:rsid w:val="00CC0C23"/>
    <w:rsid w:val="00CC0F6B"/>
    <w:rsid w:val="00CC3C6A"/>
    <w:rsid w:val="00CC5BCB"/>
    <w:rsid w:val="00CC5DF5"/>
    <w:rsid w:val="00CC6D7E"/>
    <w:rsid w:val="00CD11D2"/>
    <w:rsid w:val="00CD134E"/>
    <w:rsid w:val="00CD1889"/>
    <w:rsid w:val="00CD2764"/>
    <w:rsid w:val="00CD310B"/>
    <w:rsid w:val="00CE037A"/>
    <w:rsid w:val="00CE2C6C"/>
    <w:rsid w:val="00CE4E26"/>
    <w:rsid w:val="00CE70D6"/>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D91"/>
    <w:rsid w:val="00D16733"/>
    <w:rsid w:val="00D17B9A"/>
    <w:rsid w:val="00D17F2A"/>
    <w:rsid w:val="00D20F14"/>
    <w:rsid w:val="00D21B8D"/>
    <w:rsid w:val="00D222AF"/>
    <w:rsid w:val="00D2269F"/>
    <w:rsid w:val="00D22A57"/>
    <w:rsid w:val="00D24DE2"/>
    <w:rsid w:val="00D25098"/>
    <w:rsid w:val="00D273E6"/>
    <w:rsid w:val="00D27479"/>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52A6"/>
    <w:rsid w:val="00D95630"/>
    <w:rsid w:val="00D95656"/>
    <w:rsid w:val="00D95B53"/>
    <w:rsid w:val="00D97DAC"/>
    <w:rsid w:val="00DA0A49"/>
    <w:rsid w:val="00DA1160"/>
    <w:rsid w:val="00DA1B98"/>
    <w:rsid w:val="00DA2728"/>
    <w:rsid w:val="00DA2D62"/>
    <w:rsid w:val="00DA33A7"/>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D126C"/>
    <w:rsid w:val="00DD1499"/>
    <w:rsid w:val="00DD1E1E"/>
    <w:rsid w:val="00DD27C7"/>
    <w:rsid w:val="00DD2CEF"/>
    <w:rsid w:val="00DD4E20"/>
    <w:rsid w:val="00DD7209"/>
    <w:rsid w:val="00DE2AB7"/>
    <w:rsid w:val="00DE2D44"/>
    <w:rsid w:val="00DE330B"/>
    <w:rsid w:val="00DE3803"/>
    <w:rsid w:val="00DE5874"/>
    <w:rsid w:val="00DE6427"/>
    <w:rsid w:val="00DE7441"/>
    <w:rsid w:val="00DF0BE6"/>
    <w:rsid w:val="00DF0CEB"/>
    <w:rsid w:val="00DF0EDF"/>
    <w:rsid w:val="00DF583F"/>
    <w:rsid w:val="00E01965"/>
    <w:rsid w:val="00E039FC"/>
    <w:rsid w:val="00E05737"/>
    <w:rsid w:val="00E05C75"/>
    <w:rsid w:val="00E0629B"/>
    <w:rsid w:val="00E06E00"/>
    <w:rsid w:val="00E0750F"/>
    <w:rsid w:val="00E11490"/>
    <w:rsid w:val="00E14710"/>
    <w:rsid w:val="00E14AD7"/>
    <w:rsid w:val="00E14C47"/>
    <w:rsid w:val="00E15007"/>
    <w:rsid w:val="00E16183"/>
    <w:rsid w:val="00E16265"/>
    <w:rsid w:val="00E17672"/>
    <w:rsid w:val="00E240FE"/>
    <w:rsid w:val="00E266C7"/>
    <w:rsid w:val="00E27DDB"/>
    <w:rsid w:val="00E30F0E"/>
    <w:rsid w:val="00E320F4"/>
    <w:rsid w:val="00E338FC"/>
    <w:rsid w:val="00E33C0C"/>
    <w:rsid w:val="00E34297"/>
    <w:rsid w:val="00E363F8"/>
    <w:rsid w:val="00E36FFA"/>
    <w:rsid w:val="00E4146D"/>
    <w:rsid w:val="00E44694"/>
    <w:rsid w:val="00E46ACB"/>
    <w:rsid w:val="00E54B00"/>
    <w:rsid w:val="00E5609C"/>
    <w:rsid w:val="00E60A68"/>
    <w:rsid w:val="00E60F72"/>
    <w:rsid w:val="00E61391"/>
    <w:rsid w:val="00E62A45"/>
    <w:rsid w:val="00E649C6"/>
    <w:rsid w:val="00E6566F"/>
    <w:rsid w:val="00E66666"/>
    <w:rsid w:val="00E66DCD"/>
    <w:rsid w:val="00E70966"/>
    <w:rsid w:val="00E70DE1"/>
    <w:rsid w:val="00E719C4"/>
    <w:rsid w:val="00E735CA"/>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E65"/>
    <w:rsid w:val="00EC1AE9"/>
    <w:rsid w:val="00EC387D"/>
    <w:rsid w:val="00EC3C39"/>
    <w:rsid w:val="00EC4558"/>
    <w:rsid w:val="00EC467F"/>
    <w:rsid w:val="00EC4C01"/>
    <w:rsid w:val="00EC5DF3"/>
    <w:rsid w:val="00EC74CE"/>
    <w:rsid w:val="00EC78A8"/>
    <w:rsid w:val="00ED082D"/>
    <w:rsid w:val="00ED18C1"/>
    <w:rsid w:val="00ED30FC"/>
    <w:rsid w:val="00ED6A63"/>
    <w:rsid w:val="00ED75CE"/>
    <w:rsid w:val="00ED7D81"/>
    <w:rsid w:val="00EE127B"/>
    <w:rsid w:val="00EE1698"/>
    <w:rsid w:val="00EE1758"/>
    <w:rsid w:val="00EE4F1E"/>
    <w:rsid w:val="00EE5DC0"/>
    <w:rsid w:val="00EF1FF8"/>
    <w:rsid w:val="00EF24F1"/>
    <w:rsid w:val="00EF2E64"/>
    <w:rsid w:val="00EF35B3"/>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6943"/>
    <w:rsid w:val="00F46EB8"/>
    <w:rsid w:val="00F47977"/>
    <w:rsid w:val="00F47A77"/>
    <w:rsid w:val="00F55054"/>
    <w:rsid w:val="00F56CC2"/>
    <w:rsid w:val="00F57328"/>
    <w:rsid w:val="00F57782"/>
    <w:rsid w:val="00F608CB"/>
    <w:rsid w:val="00F60DB4"/>
    <w:rsid w:val="00F619EC"/>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2CA1"/>
    <w:rsid w:val="00F83CEB"/>
    <w:rsid w:val="00F86805"/>
    <w:rsid w:val="00F870A9"/>
    <w:rsid w:val="00F91931"/>
    <w:rsid w:val="00F919BF"/>
    <w:rsid w:val="00F91EDB"/>
    <w:rsid w:val="00F92CE5"/>
    <w:rsid w:val="00F93033"/>
    <w:rsid w:val="00F94441"/>
    <w:rsid w:val="00F96C17"/>
    <w:rsid w:val="00F96C85"/>
    <w:rsid w:val="00FA0C22"/>
    <w:rsid w:val="00FA0F18"/>
    <w:rsid w:val="00FA3B2E"/>
    <w:rsid w:val="00FA44F4"/>
    <w:rsid w:val="00FA7370"/>
    <w:rsid w:val="00FA7900"/>
    <w:rsid w:val="00FB037F"/>
    <w:rsid w:val="00FB1285"/>
    <w:rsid w:val="00FB1FD6"/>
    <w:rsid w:val="00FB2099"/>
    <w:rsid w:val="00FB30D2"/>
    <w:rsid w:val="00FB6558"/>
    <w:rsid w:val="00FC0B57"/>
    <w:rsid w:val="00FC0DD8"/>
    <w:rsid w:val="00FC1D85"/>
    <w:rsid w:val="00FC4979"/>
    <w:rsid w:val="00FC5A66"/>
    <w:rsid w:val="00FC7BAE"/>
    <w:rsid w:val="00FD15CC"/>
    <w:rsid w:val="00FD2A6C"/>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0618033A"/>
    <w:rsid w:val="0E420837"/>
    <w:rsid w:val="119C5AF6"/>
    <w:rsid w:val="12A549E0"/>
    <w:rsid w:val="12EC47C8"/>
    <w:rsid w:val="149B3A6A"/>
    <w:rsid w:val="1B4C4AE1"/>
    <w:rsid w:val="397D6532"/>
    <w:rsid w:val="3B437140"/>
    <w:rsid w:val="466F101E"/>
    <w:rsid w:val="4C6E76A3"/>
    <w:rsid w:val="506E54A2"/>
    <w:rsid w:val="56BC7FA7"/>
    <w:rsid w:val="5A49322E"/>
    <w:rsid w:val="5A526089"/>
    <w:rsid w:val="5D47734C"/>
    <w:rsid w:val="5E1A3F73"/>
    <w:rsid w:val="5F581B97"/>
    <w:rsid w:val="62343178"/>
    <w:rsid w:val="63E51B3E"/>
    <w:rsid w:val="7269072D"/>
    <w:rsid w:val="735D1B2F"/>
    <w:rsid w:val="7D9F6BC7"/>
    <w:rsid w:val="7FD06F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iPriority="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toa heading"/>
    <w:basedOn w:val="1"/>
    <w:next w:val="1"/>
    <w:semiHidden/>
    <w:unhideWhenUsed/>
    <w:qFormat/>
    <w:uiPriority w:val="0"/>
    <w:pPr>
      <w:spacing w:before="120"/>
    </w:pPr>
    <w:rPr>
      <w:rFonts w:eastAsia="宋体" w:asciiTheme="majorHAnsi" w:hAnsiTheme="majorHAnsi" w:cstheme="majorBidi"/>
      <w:sz w:val="24"/>
      <w:szCs w:val="24"/>
    </w:rPr>
  </w:style>
  <w:style w:type="paragraph" w:styleId="3">
    <w:name w:val="Body Text"/>
    <w:basedOn w:val="1"/>
    <w:next w:val="4"/>
    <w:semiHidden/>
    <w:unhideWhenUsed/>
    <w:qFormat/>
    <w:uiPriority w:val="99"/>
    <w:pPr>
      <w:spacing w:after="120"/>
    </w:pPr>
  </w:style>
  <w:style w:type="paragraph" w:customStyle="1" w:styleId="4">
    <w:name w:val="toc 1"/>
    <w:next w:val="1"/>
    <w:qFormat/>
    <w:uiPriority w:val="0"/>
    <w:pPr>
      <w:widowControl/>
      <w:wordWrap w:val="0"/>
      <w:autoSpaceDE/>
      <w:autoSpaceDN/>
      <w:spacing w:before="0" w:after="0" w:line="240" w:lineRule="auto"/>
      <w:ind w:left="0" w:firstLine="0"/>
      <w:jc w:val="both"/>
    </w:pPr>
    <w:rPr>
      <w:rFonts w:ascii="Times New Roman" w:hAnsi="Times New Roman" w:eastAsia="宋体" w:cs="Times New Roman"/>
      <w:sz w:val="21"/>
      <w:szCs w:val="22"/>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175</Words>
  <Characters>1002</Characters>
  <Lines>8</Lines>
  <Paragraphs>2</Paragraphs>
  <TotalTime>0</TotalTime>
  <ScaleCrop>false</ScaleCrop>
  <LinksUpToDate>false</LinksUpToDate>
  <CharactersWithSpaces>1175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2022-02-08T07:11:00Z</dcterms:created>
  <dc:creator>王雅婧</dc:creator>
  <cp:lastModifiedBy>Administrator</cp:lastModifiedBy>
  <dcterms:modified xsi:type="dcterms:W3CDTF">2025-08-28T07:52:30Z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