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9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7"/>
        <w:gridCol w:w="945"/>
        <w:gridCol w:w="744"/>
        <w:gridCol w:w="1170"/>
        <w:gridCol w:w="201"/>
        <w:gridCol w:w="1050"/>
        <w:gridCol w:w="1642"/>
        <w:gridCol w:w="600"/>
        <w:gridCol w:w="588"/>
        <w:gridCol w:w="54"/>
        <w:gridCol w:w="8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街巷服务经费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2667.258313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2873.792052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2873.792052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2667.258313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2873.792052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2873.792052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北京市相关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作业频次和时间要求开展日常工作。完成广外地区46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平方米一级街巷道路、27133.2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平方米二级街巷道路街巷物业服务。通过项目的开展，有利于全面提升辖区内道路清扫保洁作业水平，降低道路扬尘，打赢大气污染防治攻坚战。</w:t>
            </w:r>
          </w:p>
        </w:tc>
        <w:tc>
          <w:tcPr>
            <w:tcW w:w="3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严格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按照作业频次和时间要求开展日常工作。完成广外地区46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平方米一级街巷道路、27133.2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平方米二级街巷道路街巷物业服务。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100%完成全年市级、区级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巡查派发的环境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题整改，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保障辖区道路清洁整洁，有效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降低道路扬尘。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一级街巷道路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5.96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：二级街巷道路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1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27133.2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27133.2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指标1：街巷保洁工作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北京市相关文件标准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完成验收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按照北京市相关文件要求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开展日常工作。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100%完成全年市级、区级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巡查派发的环境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题整改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。及时做好重大活动环境保障工作。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合同执行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严格按照合同约定支付服务费用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支付2023年项目尾款、2024年1月续签一个月费用、2024年项目专家劳务费、2024年项目进度款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：全年预算金额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28737920.52元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2873.792052万元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指标1：项目的实施有利于构建亮、美、优的城区环境，解决占道经营、堆放杂物等秩序混乱的现象，解决好群众身边的环境问题。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处理辖区街巷环境问题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解决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道路脏乱、垃圾、堆物堆料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等秩序混乱的现象，居民的出行条件和居住环境品质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指标1：项目的实施有利于构建亮、美、优的城区环境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持续改善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持续改善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辖区背街小巷的环境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指标1：项目的实施有利于全面提升辖区内道路清扫保洁作业水平，降低道路扬尘，打赢大气污染防治攻坚战；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2.将环境秩序管理工作推向常态化管控的一种有效方式，将不断推进整体工作的持续有效开展。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清扫保洁作业水平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降低道路扬尘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指标1：辖区居民满意度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9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DE4AA90"/>
    <w:rsid w:val="397D6532"/>
    <w:rsid w:val="3DBFBCE1"/>
    <w:rsid w:val="5B3F9B24"/>
    <w:rsid w:val="5F581B97"/>
    <w:rsid w:val="5FF70FCB"/>
    <w:rsid w:val="5FFD862F"/>
    <w:rsid w:val="63E51B3E"/>
    <w:rsid w:val="642C2B15"/>
    <w:rsid w:val="6E73D4FE"/>
    <w:rsid w:val="75153654"/>
    <w:rsid w:val="75EF2E4D"/>
    <w:rsid w:val="CAFFAEF2"/>
    <w:rsid w:val="D06E5E68"/>
    <w:rsid w:val="D557E7FB"/>
    <w:rsid w:val="DEF6F22C"/>
    <w:rsid w:val="F7FE0B34"/>
    <w:rsid w:val="FFB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2025-08-22T09:07:06Z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99991607DA3DD3F72FCDCF67F2FF61FF_43</vt:lpwstr>
  </property>
</Properties>
</file>